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D07B0A" w14:textId="2051C582" w:rsidR="00825BCD" w:rsidRPr="002E5845" w:rsidRDefault="00261A62" w:rsidP="00865AA3">
      <w:pPr>
        <w:pStyle w:val="PaperTitle"/>
      </w:pPr>
      <w:r w:rsidRPr="002E5845">
        <w:t xml:space="preserve">The Effect of Temperature and Ionic Liquid Structure </w:t>
      </w:r>
      <w:r w:rsidR="0001653F" w:rsidRPr="002E5845">
        <w:t>on the Carbon Dioxide Absorption of Hydrophobic Protic Ionic Liquids</w:t>
      </w:r>
    </w:p>
    <w:p w14:paraId="229A5FBC" w14:textId="77777777" w:rsidR="00125D14" w:rsidRPr="00125D14" w:rsidRDefault="00125D14" w:rsidP="00125D14">
      <w:pPr>
        <w:pStyle w:val="MDPI13authornames"/>
        <w:rPr>
          <w:rFonts w:ascii="Arial" w:hAnsi="Arial" w:cs="Arial"/>
        </w:rPr>
      </w:pPr>
      <w:r w:rsidRPr="00125D14">
        <w:rPr>
          <w:rFonts w:ascii="Arial" w:hAnsi="Arial" w:cs="Arial"/>
        </w:rPr>
        <w:t>Nurin Athirah Mohd Mazlan</w:t>
      </w:r>
      <w:r w:rsidRPr="00125D14">
        <w:rPr>
          <w:rFonts w:ascii="Arial" w:hAnsi="Arial" w:cs="Arial"/>
          <w:vertAlign w:val="superscript"/>
        </w:rPr>
        <w:t>1</w:t>
      </w:r>
      <w:r w:rsidRPr="00125D14">
        <w:rPr>
          <w:rFonts w:ascii="Arial" w:hAnsi="Arial" w:cs="Arial"/>
        </w:rPr>
        <w:t>, Madelyn Wen Qian Teoh</w:t>
      </w:r>
      <w:r w:rsidRPr="00125D14">
        <w:rPr>
          <w:rFonts w:ascii="Arial" w:hAnsi="Arial" w:cs="Arial"/>
          <w:vertAlign w:val="superscript"/>
        </w:rPr>
        <w:t>2</w:t>
      </w:r>
      <w:r w:rsidRPr="00125D14">
        <w:rPr>
          <w:rFonts w:ascii="Arial" w:hAnsi="Arial" w:cs="Arial"/>
        </w:rPr>
        <w:t>, Asyraf Hanim Ab Rahim</w:t>
      </w:r>
      <w:r w:rsidRPr="00125D14">
        <w:rPr>
          <w:rFonts w:ascii="Arial" w:hAnsi="Arial" w:cs="Arial"/>
          <w:vertAlign w:val="superscript"/>
        </w:rPr>
        <w:t>1,3</w:t>
      </w:r>
      <w:r w:rsidRPr="00125D14">
        <w:rPr>
          <w:rFonts w:ascii="Arial" w:hAnsi="Arial" w:cs="Arial"/>
        </w:rPr>
        <w:t>, Gani Purwiandono</w:t>
      </w:r>
      <w:r w:rsidRPr="00125D14">
        <w:rPr>
          <w:rFonts w:ascii="Arial" w:hAnsi="Arial" w:cs="Arial"/>
          <w:vertAlign w:val="superscript"/>
        </w:rPr>
        <w:t>4</w:t>
      </w:r>
      <w:r w:rsidRPr="00125D14">
        <w:rPr>
          <w:rFonts w:ascii="Arial" w:hAnsi="Arial" w:cs="Arial"/>
        </w:rPr>
        <w:t xml:space="preserve"> and Normawati M. Yunus </w:t>
      </w:r>
      <w:r w:rsidRPr="00125D14">
        <w:rPr>
          <w:rFonts w:ascii="Arial" w:hAnsi="Arial" w:cs="Arial"/>
          <w:vertAlign w:val="superscript"/>
        </w:rPr>
        <w:t>1,3,</w:t>
      </w:r>
      <w:r w:rsidRPr="00125D14">
        <w:rPr>
          <w:rFonts w:ascii="Arial" w:hAnsi="Arial" w:cs="Arial"/>
        </w:rPr>
        <w:t>*</w:t>
      </w:r>
    </w:p>
    <w:p w14:paraId="4E5E6388" w14:textId="77777777" w:rsidR="00863DE2" w:rsidRPr="00125D14" w:rsidRDefault="00863DE2" w:rsidP="00125D14">
      <w:pPr>
        <w:pStyle w:val="MDPI16affiliation"/>
        <w:ind w:left="198"/>
        <w:jc w:val="both"/>
        <w:rPr>
          <w:rFonts w:ascii="Arial" w:hAnsi="Arial" w:cs="Arial"/>
          <w:color w:val="auto"/>
        </w:rPr>
      </w:pPr>
      <w:r w:rsidRPr="00125D14">
        <w:rPr>
          <w:rFonts w:ascii="Arial" w:hAnsi="Arial" w:cs="Arial"/>
          <w:color w:val="auto"/>
          <w:vertAlign w:val="superscript"/>
        </w:rPr>
        <w:t>1</w:t>
      </w:r>
      <w:r w:rsidRPr="00125D14">
        <w:rPr>
          <w:rFonts w:ascii="Arial" w:hAnsi="Arial" w:cs="Arial"/>
          <w:color w:val="auto"/>
        </w:rPr>
        <w:tab/>
        <w:t>Department of Applied Science, Universiti Teknologi PETRONAS, Seri Iskandar 32610, Perak, Malaysia; nurin_21001438@utp.edu.my (N.A.M.M.), asyrafhanim92@gmail.com (A.H.A.R.)</w:t>
      </w:r>
    </w:p>
    <w:p w14:paraId="161D3CBD" w14:textId="77777777" w:rsidR="00863DE2" w:rsidRPr="00125D14" w:rsidRDefault="00863DE2" w:rsidP="00125D14">
      <w:pPr>
        <w:pStyle w:val="MDPI16affiliation"/>
        <w:ind w:left="198"/>
        <w:jc w:val="both"/>
        <w:rPr>
          <w:rFonts w:ascii="Arial" w:hAnsi="Arial" w:cs="Arial"/>
          <w:color w:val="auto"/>
        </w:rPr>
      </w:pPr>
      <w:r w:rsidRPr="00125D14">
        <w:rPr>
          <w:rFonts w:ascii="Arial" w:hAnsi="Arial" w:cs="Arial"/>
          <w:color w:val="auto"/>
          <w:vertAlign w:val="superscript"/>
        </w:rPr>
        <w:t>2</w:t>
      </w:r>
      <w:r w:rsidRPr="00125D14">
        <w:rPr>
          <w:rFonts w:ascii="Arial" w:hAnsi="Arial" w:cs="Arial"/>
          <w:color w:val="auto"/>
        </w:rPr>
        <w:tab/>
        <w:t>Nanotechnology and Catalysis Research Centre (NANOCAT), Universiti Malaya 50603, Kuala Lumpur, Malaysia; teohwq2201@gmail.com (M.W.Q.T.)</w:t>
      </w:r>
    </w:p>
    <w:p w14:paraId="7AAFDA73" w14:textId="77777777" w:rsidR="00863DE2" w:rsidRPr="00125D14" w:rsidRDefault="00863DE2" w:rsidP="00125D14">
      <w:pPr>
        <w:pStyle w:val="MDPI16affiliation"/>
        <w:ind w:left="198"/>
        <w:jc w:val="both"/>
        <w:rPr>
          <w:rFonts w:ascii="Arial" w:hAnsi="Arial" w:cs="Arial"/>
          <w:color w:val="auto"/>
          <w:lang w:val="en-MY"/>
        </w:rPr>
      </w:pPr>
      <w:r w:rsidRPr="00125D14">
        <w:rPr>
          <w:rFonts w:ascii="Arial" w:hAnsi="Arial" w:cs="Arial"/>
          <w:color w:val="auto"/>
          <w:vertAlign w:val="superscript"/>
        </w:rPr>
        <w:t>3</w:t>
      </w:r>
      <w:r w:rsidRPr="00125D14">
        <w:rPr>
          <w:rFonts w:ascii="Arial" w:hAnsi="Arial" w:cs="Arial"/>
          <w:color w:val="auto"/>
        </w:rPr>
        <w:tab/>
      </w:r>
      <w:r w:rsidRPr="00125D14">
        <w:rPr>
          <w:rFonts w:ascii="Arial" w:hAnsi="Arial" w:cs="Arial"/>
          <w:color w:val="auto"/>
          <w:lang w:val="en-MY"/>
        </w:rPr>
        <w:t>Centre for Research in Ionic Liquid (CORIL), Institute of Sustainable Energy and Resources (ISER), Universiti</w:t>
      </w:r>
      <w:r w:rsidRPr="00125D14">
        <w:rPr>
          <w:rFonts w:ascii="Arial" w:hAnsi="Arial" w:cs="Arial"/>
          <w:color w:val="auto"/>
        </w:rPr>
        <w:t xml:space="preserve"> </w:t>
      </w:r>
      <w:r w:rsidRPr="00125D14">
        <w:rPr>
          <w:rFonts w:ascii="Arial" w:hAnsi="Arial" w:cs="Arial"/>
          <w:color w:val="auto"/>
          <w:lang w:val="en-MY"/>
        </w:rPr>
        <w:t>Teknologi PETRONAS, Seri Iskandar 32610, Perak, Malaysia</w:t>
      </w:r>
    </w:p>
    <w:p w14:paraId="475C6C08" w14:textId="77777777" w:rsidR="00863DE2" w:rsidRPr="00125D14" w:rsidRDefault="00863DE2" w:rsidP="00125D14">
      <w:pPr>
        <w:pStyle w:val="MDPI16affiliation"/>
        <w:ind w:left="198"/>
        <w:jc w:val="both"/>
        <w:rPr>
          <w:rFonts w:ascii="Arial" w:hAnsi="Arial" w:cs="Arial"/>
          <w:color w:val="auto"/>
        </w:rPr>
      </w:pPr>
      <w:r w:rsidRPr="00125D14">
        <w:rPr>
          <w:rFonts w:ascii="Arial" w:hAnsi="Arial" w:cs="Arial"/>
          <w:color w:val="auto"/>
          <w:vertAlign w:val="superscript"/>
        </w:rPr>
        <w:t>4</w:t>
      </w:r>
      <w:r w:rsidRPr="00125D14">
        <w:rPr>
          <w:rFonts w:ascii="Arial" w:hAnsi="Arial" w:cs="Arial"/>
          <w:color w:val="auto"/>
          <w:vertAlign w:val="superscript"/>
        </w:rPr>
        <w:tab/>
      </w:r>
      <w:r w:rsidRPr="00125D14">
        <w:rPr>
          <w:rFonts w:ascii="Arial" w:hAnsi="Arial" w:cs="Arial"/>
          <w:color w:val="auto"/>
        </w:rPr>
        <w:t>Department of Chemistry, Universitas Islam Indonesia, Sleman 55584, Indonesia; gani_purwiandono@uii.ac.id (G.P.)</w:t>
      </w:r>
    </w:p>
    <w:p w14:paraId="3FA94B4B" w14:textId="7968F365" w:rsidR="00863DE2" w:rsidRPr="00125D14" w:rsidRDefault="00863DE2" w:rsidP="00125D14">
      <w:pPr>
        <w:pStyle w:val="MDPI16affiliation"/>
        <w:ind w:left="198"/>
        <w:jc w:val="both"/>
        <w:rPr>
          <w:rFonts w:ascii="Arial" w:hAnsi="Arial" w:cs="Arial"/>
          <w:color w:val="auto"/>
        </w:rPr>
      </w:pPr>
      <w:r w:rsidRPr="00125D14">
        <w:rPr>
          <w:rFonts w:ascii="Arial" w:hAnsi="Arial" w:cs="Arial"/>
          <w:b/>
          <w:color w:val="auto"/>
        </w:rPr>
        <w:t>*</w:t>
      </w:r>
      <w:r w:rsidRPr="00125D14">
        <w:rPr>
          <w:rFonts w:ascii="Arial" w:hAnsi="Arial" w:cs="Arial"/>
          <w:color w:val="auto"/>
        </w:rPr>
        <w:tab/>
        <w:t xml:space="preserve">Correspondence: </w:t>
      </w:r>
      <w:hyperlink r:id="rId8" w:history="1">
        <w:r w:rsidR="00125D14" w:rsidRPr="00125D14">
          <w:rPr>
            <w:rStyle w:val="Hyperlink"/>
            <w:rFonts w:ascii="Arial" w:hAnsi="Arial" w:cs="Arial"/>
            <w:color w:val="auto"/>
            <w:u w:val="none"/>
          </w:rPr>
          <w:t>normaw@utp.edu.my</w:t>
        </w:r>
      </w:hyperlink>
    </w:p>
    <w:p w14:paraId="60E132CE" w14:textId="77777777" w:rsidR="00125D14" w:rsidRPr="00863DE2" w:rsidRDefault="00125D14" w:rsidP="00125D14">
      <w:pPr>
        <w:pStyle w:val="MDPI16affiliation"/>
        <w:ind w:left="198"/>
        <w:jc w:val="both"/>
        <w:rPr>
          <w:rFonts w:ascii="Arial" w:hAnsi="Arial" w:cs="Arial"/>
        </w:rPr>
      </w:pPr>
    </w:p>
    <w:p w14:paraId="5EC11C0F" w14:textId="4E3FB36A" w:rsidR="003D0A81" w:rsidRPr="00863DE2" w:rsidRDefault="003D0A81" w:rsidP="00C2010F">
      <w:pPr>
        <w:spacing w:line="360" w:lineRule="auto"/>
        <w:jc w:val="both"/>
        <w:rPr>
          <w:rFonts w:ascii="Arial" w:hAnsi="Arial" w:cs="Arial"/>
          <w:b/>
          <w:bCs/>
          <w:sz w:val="20"/>
          <w:szCs w:val="20"/>
          <w:lang w:val="en-US"/>
        </w:rPr>
      </w:pPr>
      <w:r w:rsidRPr="00863DE2">
        <w:rPr>
          <w:rFonts w:ascii="Arial" w:hAnsi="Arial" w:cs="Arial"/>
          <w:b/>
          <w:bCs/>
          <w:sz w:val="20"/>
          <w:szCs w:val="20"/>
          <w:lang w:val="en-US"/>
        </w:rPr>
        <w:t>Abstract</w:t>
      </w:r>
    </w:p>
    <w:p w14:paraId="75EC5B9C" w14:textId="723A96AD" w:rsidR="00722E08" w:rsidRDefault="00F8583C" w:rsidP="003D0A81">
      <w:pPr>
        <w:spacing w:line="360" w:lineRule="auto"/>
        <w:jc w:val="both"/>
        <w:rPr>
          <w:rFonts w:ascii="Arial" w:hAnsi="Arial" w:cs="Arial"/>
          <w:sz w:val="20"/>
          <w:szCs w:val="20"/>
          <w:lang w:val="en-US"/>
        </w:rPr>
      </w:pPr>
      <w:r>
        <w:rPr>
          <w:rFonts w:ascii="Arial" w:hAnsi="Arial" w:cs="Arial"/>
          <w:sz w:val="20"/>
          <w:szCs w:val="20"/>
          <w:lang w:val="en-US"/>
        </w:rPr>
        <w:t>T</w:t>
      </w:r>
      <w:r w:rsidR="00125D14">
        <w:rPr>
          <w:rFonts w:ascii="Arial" w:hAnsi="Arial" w:cs="Arial"/>
          <w:sz w:val="20"/>
          <w:szCs w:val="20"/>
          <w:lang w:val="en-US"/>
        </w:rPr>
        <w:t xml:space="preserve">his </w:t>
      </w:r>
      <w:r w:rsidR="00A414AB" w:rsidRPr="002E5845">
        <w:rPr>
          <w:rFonts w:ascii="Arial" w:hAnsi="Arial" w:cs="Arial"/>
          <w:sz w:val="20"/>
          <w:szCs w:val="20"/>
          <w:lang w:val="en-US"/>
        </w:rPr>
        <w:t>study investigates the effect of temperature and cation structure on the CO</w:t>
      </w:r>
      <w:r w:rsidR="00A414AB" w:rsidRPr="002E5845">
        <w:rPr>
          <w:rFonts w:ascii="Arial" w:hAnsi="Arial" w:cs="Arial"/>
          <w:sz w:val="20"/>
          <w:szCs w:val="20"/>
          <w:vertAlign w:val="subscript"/>
          <w:lang w:val="en-US"/>
        </w:rPr>
        <w:t>2</w:t>
      </w:r>
      <w:r w:rsidR="00A414AB" w:rsidRPr="002E5845">
        <w:rPr>
          <w:rFonts w:ascii="Arial" w:hAnsi="Arial" w:cs="Arial"/>
          <w:sz w:val="20"/>
          <w:szCs w:val="20"/>
          <w:lang w:val="en-US"/>
        </w:rPr>
        <w:t xml:space="preserve"> absorption performance of newly synthesized hydrophobic protic ionic liquids (HPILs) based on diethylammonium ([DEA][Tf</w:t>
      </w:r>
      <w:r w:rsidR="00A414AB" w:rsidRPr="002E5845">
        <w:rPr>
          <w:rFonts w:ascii="Arial" w:hAnsi="Arial" w:cs="Arial"/>
          <w:sz w:val="20"/>
          <w:szCs w:val="20"/>
          <w:vertAlign w:val="subscript"/>
          <w:lang w:val="en-US"/>
        </w:rPr>
        <w:t>2</w:t>
      </w:r>
      <w:r w:rsidR="00A414AB" w:rsidRPr="002E5845">
        <w:rPr>
          <w:rFonts w:ascii="Arial" w:hAnsi="Arial" w:cs="Arial"/>
          <w:sz w:val="20"/>
          <w:szCs w:val="20"/>
          <w:lang w:val="en-US"/>
        </w:rPr>
        <w:t>N]), triethylammonium ([TEA][Tf</w:t>
      </w:r>
      <w:r w:rsidR="00A414AB" w:rsidRPr="002E5845">
        <w:rPr>
          <w:rFonts w:ascii="Arial" w:hAnsi="Arial" w:cs="Arial"/>
          <w:sz w:val="20"/>
          <w:szCs w:val="20"/>
          <w:vertAlign w:val="subscript"/>
          <w:lang w:val="en-US"/>
        </w:rPr>
        <w:t>2</w:t>
      </w:r>
      <w:r w:rsidR="00A414AB" w:rsidRPr="002E5845">
        <w:rPr>
          <w:rFonts w:ascii="Arial" w:hAnsi="Arial" w:cs="Arial"/>
          <w:sz w:val="20"/>
          <w:szCs w:val="20"/>
          <w:lang w:val="en-US"/>
        </w:rPr>
        <w:t>N]), and bis(2-ethylhexyl)ammonium ([BEHA][Tf</w:t>
      </w:r>
      <w:r w:rsidR="00A414AB" w:rsidRPr="002E5845">
        <w:rPr>
          <w:rFonts w:ascii="Arial" w:hAnsi="Arial" w:cs="Arial"/>
          <w:sz w:val="20"/>
          <w:szCs w:val="20"/>
          <w:vertAlign w:val="subscript"/>
          <w:lang w:val="en-US"/>
        </w:rPr>
        <w:t>2</w:t>
      </w:r>
      <w:r w:rsidR="00A414AB" w:rsidRPr="002E5845">
        <w:rPr>
          <w:rFonts w:ascii="Arial" w:hAnsi="Arial" w:cs="Arial"/>
          <w:sz w:val="20"/>
          <w:szCs w:val="20"/>
          <w:lang w:val="en-US"/>
        </w:rPr>
        <w:t>N]) salts. The HPILs were prepared via a two-step reaction, solvent-free synthesis and characterized by using Nuclear Magnetic Resonance (NMR), Thermogravimetric Analysis (TGA), followed by density and refractive index measurements. CO</w:t>
      </w:r>
      <w:r w:rsidR="00A414AB" w:rsidRPr="002E5845">
        <w:rPr>
          <w:rFonts w:ascii="Arial" w:hAnsi="Arial" w:cs="Arial"/>
          <w:sz w:val="20"/>
          <w:szCs w:val="20"/>
          <w:vertAlign w:val="subscript"/>
          <w:lang w:val="en-US"/>
        </w:rPr>
        <w:t>2</w:t>
      </w:r>
      <w:r w:rsidR="00A414AB" w:rsidRPr="002E5845">
        <w:rPr>
          <w:rFonts w:ascii="Arial" w:hAnsi="Arial" w:cs="Arial"/>
          <w:sz w:val="20"/>
          <w:szCs w:val="20"/>
          <w:lang w:val="en-US"/>
        </w:rPr>
        <w:t xml:space="preserve"> solubility was evaluated at 298.15, 313.15, and 333.15K under pressures up to 20 bar. Results showed that CO</w:t>
      </w:r>
      <w:r w:rsidR="00A414AB" w:rsidRPr="002E5845">
        <w:rPr>
          <w:rFonts w:ascii="Arial" w:hAnsi="Arial" w:cs="Arial"/>
          <w:sz w:val="20"/>
          <w:szCs w:val="20"/>
          <w:vertAlign w:val="subscript"/>
          <w:lang w:val="en-US"/>
        </w:rPr>
        <w:t>2</w:t>
      </w:r>
      <w:r w:rsidR="00A414AB" w:rsidRPr="002E5845">
        <w:rPr>
          <w:rFonts w:ascii="Arial" w:hAnsi="Arial" w:cs="Arial"/>
          <w:sz w:val="20"/>
          <w:szCs w:val="20"/>
          <w:lang w:val="en-US"/>
        </w:rPr>
        <w:t xml:space="preserve"> solubility increases with pressure but decreases with temperature, indicating a physical absorption mechanism. Among the studied ILs, [BEHA][Tf</w:t>
      </w:r>
      <w:r w:rsidR="00A414AB" w:rsidRPr="002E5845">
        <w:rPr>
          <w:rFonts w:ascii="Arial" w:hAnsi="Arial" w:cs="Arial"/>
          <w:sz w:val="20"/>
          <w:szCs w:val="20"/>
          <w:vertAlign w:val="subscript"/>
          <w:lang w:val="en-US"/>
        </w:rPr>
        <w:t>2</w:t>
      </w:r>
      <w:r w:rsidR="00A414AB" w:rsidRPr="002E5845">
        <w:rPr>
          <w:rFonts w:ascii="Arial" w:hAnsi="Arial" w:cs="Arial"/>
          <w:sz w:val="20"/>
          <w:szCs w:val="20"/>
          <w:lang w:val="en-US"/>
        </w:rPr>
        <w:t>N] exhibited the highest CO</w:t>
      </w:r>
      <w:r w:rsidR="00A414AB" w:rsidRPr="002E5845">
        <w:rPr>
          <w:rFonts w:ascii="Arial" w:hAnsi="Arial" w:cs="Arial"/>
          <w:sz w:val="20"/>
          <w:szCs w:val="20"/>
          <w:vertAlign w:val="subscript"/>
          <w:lang w:val="en-US"/>
        </w:rPr>
        <w:t>2</w:t>
      </w:r>
      <w:r w:rsidR="00A414AB" w:rsidRPr="002E5845">
        <w:rPr>
          <w:rFonts w:ascii="Arial" w:hAnsi="Arial" w:cs="Arial"/>
          <w:sz w:val="20"/>
          <w:szCs w:val="20"/>
          <w:lang w:val="en-US"/>
        </w:rPr>
        <w:t xml:space="preserve"> capacity at 298.15K and 20 bar, along with the most negative enthalpy of absorption, attributed to its larger cation size and consequently greater free volume (V</w:t>
      </w:r>
      <w:r w:rsidR="00A414AB" w:rsidRPr="002E5845">
        <w:rPr>
          <w:rFonts w:ascii="Arial" w:hAnsi="Arial" w:cs="Arial"/>
          <w:sz w:val="20"/>
          <w:szCs w:val="20"/>
          <w:vertAlign w:val="subscript"/>
          <w:lang w:val="en-US"/>
        </w:rPr>
        <w:t>f</w:t>
      </w:r>
      <w:r w:rsidR="00A414AB" w:rsidRPr="002E5845">
        <w:rPr>
          <w:rFonts w:ascii="Arial" w:hAnsi="Arial" w:cs="Arial"/>
          <w:sz w:val="20"/>
          <w:szCs w:val="20"/>
          <w:lang w:val="en-US"/>
        </w:rPr>
        <w:t xml:space="preserve">). </w:t>
      </w:r>
      <w:r w:rsidR="00100187">
        <w:rPr>
          <w:rFonts w:ascii="Arial" w:hAnsi="Arial" w:cs="Arial"/>
          <w:sz w:val="20"/>
          <w:szCs w:val="20"/>
          <w:lang w:val="en-US"/>
        </w:rPr>
        <w:t xml:space="preserve">Besides, </w:t>
      </w:r>
      <w:r w:rsidR="00A414AB" w:rsidRPr="002E5845">
        <w:rPr>
          <w:rFonts w:ascii="Arial" w:hAnsi="Arial" w:cs="Arial"/>
          <w:sz w:val="20"/>
          <w:szCs w:val="20"/>
          <w:lang w:val="en-US"/>
        </w:rPr>
        <w:t>[BEHA][Tf</w:t>
      </w:r>
      <w:r w:rsidR="00A414AB" w:rsidRPr="002E5845">
        <w:rPr>
          <w:rFonts w:ascii="Arial" w:hAnsi="Arial" w:cs="Arial"/>
          <w:sz w:val="20"/>
          <w:szCs w:val="20"/>
          <w:vertAlign w:val="subscript"/>
          <w:lang w:val="en-US"/>
        </w:rPr>
        <w:t>2</w:t>
      </w:r>
      <w:r w:rsidR="00A414AB" w:rsidRPr="002E5845">
        <w:rPr>
          <w:rFonts w:ascii="Arial" w:hAnsi="Arial" w:cs="Arial"/>
          <w:sz w:val="20"/>
          <w:szCs w:val="20"/>
          <w:lang w:val="en-US"/>
        </w:rPr>
        <w:t>N]</w:t>
      </w:r>
      <w:r w:rsidR="00100187">
        <w:rPr>
          <w:rFonts w:ascii="Arial" w:hAnsi="Arial" w:cs="Arial"/>
          <w:sz w:val="20"/>
          <w:szCs w:val="20"/>
          <w:lang w:val="en-US"/>
        </w:rPr>
        <w:t xml:space="preserve"> also</w:t>
      </w:r>
      <w:r w:rsidR="00A414AB" w:rsidRPr="002E5845">
        <w:rPr>
          <w:rFonts w:ascii="Arial" w:hAnsi="Arial" w:cs="Arial"/>
          <w:sz w:val="20"/>
          <w:szCs w:val="20"/>
          <w:lang w:val="en-US"/>
        </w:rPr>
        <w:t xml:space="preserve"> maintained excellent structural integrity over repeated absorption–desorption cycles. The findings confirm that </w:t>
      </w:r>
      <w:r w:rsidR="00241ED7" w:rsidRPr="002E5845">
        <w:rPr>
          <w:rFonts w:ascii="Arial" w:hAnsi="Arial" w:cs="Arial"/>
          <w:sz w:val="20"/>
          <w:szCs w:val="20"/>
          <w:lang w:val="en-US"/>
        </w:rPr>
        <w:t>HPILs</w:t>
      </w:r>
      <w:r w:rsidR="00A414AB" w:rsidRPr="002E5845">
        <w:rPr>
          <w:rFonts w:ascii="Arial" w:hAnsi="Arial" w:cs="Arial"/>
          <w:sz w:val="20"/>
          <w:szCs w:val="20"/>
          <w:lang w:val="en-US"/>
        </w:rPr>
        <w:t>, particularly [BEHA][Tf</w:t>
      </w:r>
      <w:r w:rsidR="00A414AB" w:rsidRPr="002E5845">
        <w:rPr>
          <w:rFonts w:ascii="Arial" w:hAnsi="Arial" w:cs="Arial"/>
          <w:sz w:val="20"/>
          <w:szCs w:val="20"/>
          <w:vertAlign w:val="subscript"/>
          <w:lang w:val="en-US"/>
        </w:rPr>
        <w:t>2</w:t>
      </w:r>
      <w:r w:rsidR="00A414AB" w:rsidRPr="002E5845">
        <w:rPr>
          <w:rFonts w:ascii="Arial" w:hAnsi="Arial" w:cs="Arial"/>
          <w:sz w:val="20"/>
          <w:szCs w:val="20"/>
          <w:lang w:val="en-US"/>
        </w:rPr>
        <w:t>N], represent energy-efficient and recyclable alternatives to traditional amine solvents for CO</w:t>
      </w:r>
      <w:r w:rsidR="00A414AB" w:rsidRPr="002E5845">
        <w:rPr>
          <w:rFonts w:ascii="Arial" w:hAnsi="Arial" w:cs="Arial"/>
          <w:sz w:val="20"/>
          <w:szCs w:val="20"/>
          <w:vertAlign w:val="subscript"/>
          <w:lang w:val="en-US"/>
        </w:rPr>
        <w:t>2</w:t>
      </w:r>
      <w:r w:rsidR="00A414AB" w:rsidRPr="002E5845">
        <w:rPr>
          <w:rFonts w:ascii="Arial" w:hAnsi="Arial" w:cs="Arial"/>
          <w:sz w:val="20"/>
          <w:szCs w:val="20"/>
          <w:lang w:val="en-US"/>
        </w:rPr>
        <w:t xml:space="preserve"> capture applications.</w:t>
      </w:r>
    </w:p>
    <w:p w14:paraId="467C32E8" w14:textId="77777777" w:rsidR="002F2A36" w:rsidRDefault="006F6F89" w:rsidP="002F2A36">
      <w:pPr>
        <w:spacing w:line="240" w:lineRule="auto"/>
        <w:jc w:val="both"/>
        <w:rPr>
          <w:rFonts w:ascii="Arial" w:hAnsi="Arial" w:cs="Arial"/>
          <w:sz w:val="20"/>
          <w:szCs w:val="20"/>
          <w:lang w:val="en-US"/>
        </w:rPr>
      </w:pPr>
      <w:r w:rsidRPr="006F6F89">
        <w:rPr>
          <w:rFonts w:ascii="Arial" w:hAnsi="Arial" w:cs="Arial"/>
          <w:b/>
          <w:bCs/>
          <w:sz w:val="20"/>
          <w:szCs w:val="20"/>
          <w:lang w:val="en-US"/>
        </w:rPr>
        <w:t>Keywords:</w:t>
      </w:r>
      <w:r>
        <w:rPr>
          <w:rFonts w:ascii="Arial" w:hAnsi="Arial" w:cs="Arial"/>
          <w:sz w:val="20"/>
          <w:szCs w:val="20"/>
          <w:lang w:val="en-US"/>
        </w:rPr>
        <w:t xml:space="preserve"> ammonium-based protic ionic liquids; free volume; density; refractive index; recyclability.</w:t>
      </w:r>
    </w:p>
    <w:p w14:paraId="00FD4898" w14:textId="02746610" w:rsidR="002F2A36" w:rsidRPr="002E5845" w:rsidRDefault="002F2A36" w:rsidP="002F2A36">
      <w:pPr>
        <w:spacing w:line="240" w:lineRule="auto"/>
        <w:jc w:val="both"/>
        <w:rPr>
          <w:rFonts w:ascii="Arial" w:hAnsi="Arial" w:cs="Arial"/>
          <w:sz w:val="20"/>
          <w:szCs w:val="20"/>
          <w:lang w:val="en-US"/>
        </w:rPr>
      </w:pPr>
      <w:r>
        <w:rPr>
          <w:rFonts w:ascii="Arial" w:hAnsi="Arial" w:cs="Arial"/>
          <w:sz w:val="20"/>
          <w:szCs w:val="20"/>
          <w:lang w:val="en-US"/>
        </w:rPr>
        <w:t>_________________________________________________________________________________</w:t>
      </w:r>
    </w:p>
    <w:p w14:paraId="26DF56E9" w14:textId="20457071" w:rsidR="004E24A7" w:rsidRDefault="004E24A7" w:rsidP="004E24A7">
      <w:pPr>
        <w:spacing w:line="240" w:lineRule="auto"/>
        <w:jc w:val="both"/>
        <w:rPr>
          <w:rFonts w:ascii="Arial" w:hAnsi="Arial" w:cs="Arial"/>
          <w:b/>
          <w:bCs/>
          <w:sz w:val="20"/>
          <w:szCs w:val="20"/>
          <w:lang w:val="en-US"/>
        </w:rPr>
      </w:pPr>
    </w:p>
    <w:p w14:paraId="0D894037" w14:textId="12A38984" w:rsidR="00C02EC4" w:rsidRPr="002E5845" w:rsidRDefault="00D92199" w:rsidP="00D26B7C">
      <w:pPr>
        <w:spacing w:line="360" w:lineRule="auto"/>
        <w:jc w:val="both"/>
        <w:rPr>
          <w:rFonts w:ascii="Arial" w:hAnsi="Arial" w:cs="Arial"/>
          <w:b/>
          <w:bCs/>
          <w:sz w:val="20"/>
          <w:szCs w:val="20"/>
          <w:lang w:val="en-US"/>
        </w:rPr>
      </w:pPr>
      <w:r>
        <w:rPr>
          <w:rFonts w:ascii="Arial" w:hAnsi="Arial" w:cs="Arial"/>
          <w:b/>
          <w:bCs/>
          <w:sz w:val="20"/>
          <w:szCs w:val="20"/>
          <w:lang w:val="en-US"/>
        </w:rPr>
        <w:t xml:space="preserve">1.0 </w:t>
      </w:r>
      <w:r w:rsidR="00C02EC4" w:rsidRPr="002E5845">
        <w:rPr>
          <w:rFonts w:ascii="Arial" w:hAnsi="Arial" w:cs="Arial"/>
          <w:b/>
          <w:bCs/>
          <w:sz w:val="20"/>
          <w:szCs w:val="20"/>
          <w:lang w:val="en-US"/>
        </w:rPr>
        <w:t>Introduction</w:t>
      </w:r>
    </w:p>
    <w:p w14:paraId="24F667C7" w14:textId="0B7670D4" w:rsidR="00D31B79" w:rsidRPr="00D31B79" w:rsidRDefault="00D31B79" w:rsidP="00D31B79">
      <w:pPr>
        <w:spacing w:line="360" w:lineRule="auto"/>
        <w:jc w:val="both"/>
        <w:rPr>
          <w:rFonts w:ascii="Arial" w:hAnsi="Arial" w:cs="Arial"/>
          <w:sz w:val="20"/>
          <w:szCs w:val="20"/>
        </w:rPr>
      </w:pPr>
      <w:r w:rsidRPr="00D31B79">
        <w:rPr>
          <w:rFonts w:ascii="Arial" w:hAnsi="Arial" w:cs="Arial"/>
          <w:sz w:val="20"/>
          <w:szCs w:val="20"/>
        </w:rPr>
        <w:t>Carbon dioxide (C</w:t>
      </w:r>
      <w:r>
        <w:rPr>
          <w:rFonts w:ascii="Arial" w:hAnsi="Arial" w:cs="Arial"/>
          <w:sz w:val="20"/>
          <w:szCs w:val="20"/>
        </w:rPr>
        <w:t>O</w:t>
      </w:r>
      <w:r>
        <w:rPr>
          <w:rFonts w:ascii="Arial" w:hAnsi="Arial" w:cs="Arial"/>
          <w:sz w:val="20"/>
          <w:szCs w:val="20"/>
          <w:vertAlign w:val="subscript"/>
        </w:rPr>
        <w:t>2</w:t>
      </w:r>
      <w:r w:rsidRPr="00D31B79">
        <w:rPr>
          <w:rFonts w:ascii="Arial" w:hAnsi="Arial" w:cs="Arial"/>
          <w:sz w:val="20"/>
          <w:szCs w:val="20"/>
        </w:rPr>
        <w:t>) is a major greenhouse gas contributing significantly to global warming and climate change [1,2]. Its continuous increase in the atmosphere, primarily from fossil fuel combustion, has become a critical environmental concern. In the energy sector, natural gas is often regarded as a cleaner alternative to coal and oil due to its lower carbon intensity. However, natural gas typically contains impurities such as C</w:t>
      </w:r>
      <w:r>
        <w:rPr>
          <w:rFonts w:ascii="Arial" w:hAnsi="Arial" w:cs="Arial"/>
          <w:sz w:val="20"/>
          <w:szCs w:val="20"/>
        </w:rPr>
        <w:t>O</w:t>
      </w:r>
      <w:r>
        <w:rPr>
          <w:rFonts w:ascii="Arial" w:hAnsi="Arial" w:cs="Arial"/>
          <w:sz w:val="20"/>
          <w:szCs w:val="20"/>
          <w:vertAlign w:val="subscript"/>
        </w:rPr>
        <w:t>2</w:t>
      </w:r>
      <w:r w:rsidRPr="00D31B79">
        <w:rPr>
          <w:rFonts w:ascii="Arial" w:hAnsi="Arial" w:cs="Arial"/>
          <w:sz w:val="20"/>
          <w:szCs w:val="20"/>
        </w:rPr>
        <w:t>, hydrogen sulfide (</w:t>
      </w:r>
      <w:r>
        <w:rPr>
          <w:rFonts w:ascii="Arial" w:hAnsi="Arial" w:cs="Arial"/>
          <w:sz w:val="20"/>
          <w:szCs w:val="20"/>
        </w:rPr>
        <w:t>H</w:t>
      </w:r>
      <w:r>
        <w:rPr>
          <w:rFonts w:ascii="Arial" w:hAnsi="Arial" w:cs="Arial"/>
          <w:sz w:val="20"/>
          <w:szCs w:val="20"/>
          <w:vertAlign w:val="subscript"/>
        </w:rPr>
        <w:t>2</w:t>
      </w:r>
      <w:r w:rsidRPr="00D31B79">
        <w:rPr>
          <w:rFonts w:ascii="Arial" w:hAnsi="Arial" w:cs="Arial"/>
          <w:sz w:val="20"/>
          <w:szCs w:val="20"/>
        </w:rPr>
        <w:t>S), and water vapor, which reduce its heating value and promote corrosion in pipelines and processing equipment [3–6]. Therefore, the removal of C</w:t>
      </w:r>
      <w:r w:rsidR="008926D6">
        <w:rPr>
          <w:rFonts w:ascii="Arial" w:hAnsi="Arial" w:cs="Arial"/>
          <w:sz w:val="20"/>
          <w:szCs w:val="20"/>
        </w:rPr>
        <w:t>O</w:t>
      </w:r>
      <w:r w:rsidR="008926D6">
        <w:rPr>
          <w:rFonts w:ascii="Arial" w:hAnsi="Arial" w:cs="Arial"/>
          <w:sz w:val="20"/>
          <w:szCs w:val="20"/>
          <w:vertAlign w:val="subscript"/>
        </w:rPr>
        <w:t>2</w:t>
      </w:r>
      <w:r w:rsidRPr="00D31B79">
        <w:rPr>
          <w:rFonts w:ascii="Arial" w:hAnsi="Arial" w:cs="Arial"/>
          <w:sz w:val="20"/>
          <w:szCs w:val="20"/>
        </w:rPr>
        <w:t xml:space="preserve"> is essential to ensure gas quality, process safety, and compliance with environmental standards.</w:t>
      </w:r>
    </w:p>
    <w:p w14:paraId="1BF80BF8" w14:textId="1374EA94" w:rsidR="00D31B79" w:rsidRPr="00D31B79" w:rsidRDefault="00D31B79" w:rsidP="00D31B79">
      <w:pPr>
        <w:spacing w:line="360" w:lineRule="auto"/>
        <w:jc w:val="both"/>
        <w:rPr>
          <w:rFonts w:ascii="Arial" w:hAnsi="Arial" w:cs="Arial"/>
          <w:sz w:val="20"/>
          <w:szCs w:val="20"/>
        </w:rPr>
      </w:pPr>
      <w:r w:rsidRPr="00D31B79">
        <w:rPr>
          <w:rFonts w:ascii="Arial" w:hAnsi="Arial" w:cs="Arial"/>
          <w:sz w:val="20"/>
          <w:szCs w:val="20"/>
        </w:rPr>
        <w:t xml:space="preserve">Among the available separation techniques, chemical absorption using aqueous alkanolamines, particularly monoethanolamine (MEA), remains the dominant industrial process because of its high efficiency and reversibility [5–8]. Nevertheless, this method suffers from several drawbacks, including </w:t>
      </w:r>
      <w:r w:rsidRPr="00D31B79">
        <w:rPr>
          <w:rFonts w:ascii="Arial" w:hAnsi="Arial" w:cs="Arial"/>
          <w:sz w:val="20"/>
          <w:szCs w:val="20"/>
        </w:rPr>
        <w:lastRenderedPageBreak/>
        <w:t>high energy requirements for solvent regeneration, solvent degradation, volatility, and equipment corrosion [9]. Other technologies such as adsorption and membrane separation have been explored</w:t>
      </w:r>
      <w:r w:rsidR="008926D6">
        <w:rPr>
          <w:rFonts w:ascii="Arial" w:hAnsi="Arial" w:cs="Arial"/>
          <w:sz w:val="20"/>
          <w:szCs w:val="20"/>
        </w:rPr>
        <w:t>,</w:t>
      </w:r>
      <w:r w:rsidRPr="00D31B79">
        <w:rPr>
          <w:rFonts w:ascii="Arial" w:hAnsi="Arial" w:cs="Arial"/>
          <w:sz w:val="20"/>
          <w:szCs w:val="20"/>
        </w:rPr>
        <w:t xml:space="preserve"> however, they also face challenges related to cost, selectivity, and scalability [10,11].</w:t>
      </w:r>
    </w:p>
    <w:p w14:paraId="15EFF84C" w14:textId="0BFCAAFF" w:rsidR="00D31B79" w:rsidRPr="00D31B79" w:rsidRDefault="007A18F7" w:rsidP="00D31B79">
      <w:pPr>
        <w:spacing w:line="360" w:lineRule="auto"/>
        <w:jc w:val="both"/>
        <w:rPr>
          <w:rFonts w:ascii="Arial" w:hAnsi="Arial" w:cs="Arial"/>
          <w:sz w:val="20"/>
          <w:szCs w:val="20"/>
        </w:rPr>
      </w:pPr>
      <w:r>
        <w:rPr>
          <w:rFonts w:ascii="Arial" w:hAnsi="Arial" w:cs="Arial"/>
          <w:sz w:val="20"/>
          <w:szCs w:val="20"/>
        </w:rPr>
        <w:t>Therefore, i</w:t>
      </w:r>
      <w:r w:rsidR="00D31B79" w:rsidRPr="00D31B79">
        <w:rPr>
          <w:rFonts w:ascii="Arial" w:hAnsi="Arial" w:cs="Arial"/>
          <w:sz w:val="20"/>
          <w:szCs w:val="20"/>
        </w:rPr>
        <w:t>onic liquids (ILs) have emerged as promising alternatives to conventional solvents owing to their negligible vapor pressure, high thermal stability, and tunable physicochemical properties [7,12–14]. Imidazolium-based and task-specific ionic liquids (TSILs) have demonstrated notable C</w:t>
      </w:r>
      <w:r w:rsidR="007C3352">
        <w:rPr>
          <w:rFonts w:ascii="Arial" w:hAnsi="Arial" w:cs="Arial"/>
          <w:sz w:val="20"/>
          <w:szCs w:val="20"/>
        </w:rPr>
        <w:t>O</w:t>
      </w:r>
      <w:r w:rsidR="007C3352">
        <w:rPr>
          <w:rFonts w:ascii="Arial" w:hAnsi="Arial" w:cs="Arial"/>
          <w:sz w:val="20"/>
          <w:szCs w:val="20"/>
          <w:vertAlign w:val="subscript"/>
        </w:rPr>
        <w:t>2</w:t>
      </w:r>
      <w:r w:rsidR="00D31B79" w:rsidRPr="00D31B79">
        <w:rPr>
          <w:rFonts w:ascii="Arial" w:hAnsi="Arial" w:cs="Arial"/>
          <w:sz w:val="20"/>
          <w:szCs w:val="20"/>
        </w:rPr>
        <w:t xml:space="preserve"> absorption capacities [15], but their large-scale application is limited by complex synthesis routes, high production costs, and the use of hazardous reagents [13]. To overcome these issues, protic ionic liquids (PILs) have attracted increasing interest as they can be synthesized via simple acid</w:t>
      </w:r>
      <w:r w:rsidR="000C1C6F">
        <w:rPr>
          <w:rFonts w:ascii="Arial" w:hAnsi="Arial" w:cs="Arial"/>
          <w:sz w:val="20"/>
          <w:szCs w:val="20"/>
        </w:rPr>
        <w:t>-</w:t>
      </w:r>
      <w:r w:rsidR="00D31B79" w:rsidRPr="00D31B79">
        <w:rPr>
          <w:rFonts w:ascii="Arial" w:hAnsi="Arial" w:cs="Arial"/>
          <w:sz w:val="20"/>
          <w:szCs w:val="20"/>
        </w:rPr>
        <w:t>base neutralization reactions without organic solvents [16,17]. Although some PILs exhibit comparable C</w:t>
      </w:r>
      <w:r w:rsidR="0052258B">
        <w:rPr>
          <w:rFonts w:ascii="Arial" w:hAnsi="Arial" w:cs="Arial"/>
          <w:sz w:val="20"/>
          <w:szCs w:val="20"/>
        </w:rPr>
        <w:t>O</w:t>
      </w:r>
      <w:r w:rsidR="0052258B">
        <w:rPr>
          <w:rFonts w:ascii="Arial" w:hAnsi="Arial" w:cs="Arial"/>
          <w:sz w:val="20"/>
          <w:szCs w:val="20"/>
          <w:vertAlign w:val="subscript"/>
        </w:rPr>
        <w:t>2</w:t>
      </w:r>
      <w:r w:rsidR="00D31B79" w:rsidRPr="00D31B79">
        <w:rPr>
          <w:rFonts w:ascii="Arial" w:hAnsi="Arial" w:cs="Arial"/>
          <w:sz w:val="20"/>
          <w:szCs w:val="20"/>
        </w:rPr>
        <w:t xml:space="preserve"> absorption capacities to conventional ILs, their hydrophilic nature and moderate thermal stability restrict practical application.</w:t>
      </w:r>
    </w:p>
    <w:p w14:paraId="71B3910D" w14:textId="0148BD08" w:rsidR="00D31B79" w:rsidRPr="00D31B79" w:rsidRDefault="00D31B79" w:rsidP="00D31B79">
      <w:pPr>
        <w:spacing w:line="360" w:lineRule="auto"/>
        <w:jc w:val="both"/>
        <w:rPr>
          <w:rFonts w:ascii="Arial" w:hAnsi="Arial" w:cs="Arial"/>
          <w:sz w:val="20"/>
          <w:szCs w:val="20"/>
        </w:rPr>
      </w:pPr>
      <w:r w:rsidRPr="00D31B79">
        <w:rPr>
          <w:rFonts w:ascii="Arial" w:hAnsi="Arial" w:cs="Arial"/>
          <w:sz w:val="20"/>
          <w:szCs w:val="20"/>
        </w:rPr>
        <w:t>Hydrophobic protic ionic liquids (HPILs) have been developed to address these limitations by incorporating non</w:t>
      </w:r>
      <w:r w:rsidR="000C1C6F">
        <w:rPr>
          <w:rFonts w:ascii="Arial" w:hAnsi="Arial" w:cs="Arial"/>
          <w:sz w:val="20"/>
          <w:szCs w:val="20"/>
        </w:rPr>
        <w:t>-</w:t>
      </w:r>
      <w:r w:rsidRPr="00D31B79">
        <w:rPr>
          <w:rFonts w:ascii="Arial" w:hAnsi="Arial" w:cs="Arial"/>
          <w:sz w:val="20"/>
          <w:szCs w:val="20"/>
        </w:rPr>
        <w:t>polar alkyl groups, thereby reducing water uptake, enhancing thermal stability, and improving C</w:t>
      </w:r>
      <w:r w:rsidR="00C551BA">
        <w:rPr>
          <w:rFonts w:ascii="Arial" w:hAnsi="Arial" w:cs="Arial"/>
          <w:sz w:val="20"/>
          <w:szCs w:val="20"/>
        </w:rPr>
        <w:t>O</w:t>
      </w:r>
      <w:r w:rsidR="00C551BA">
        <w:rPr>
          <w:rFonts w:ascii="Arial" w:hAnsi="Arial" w:cs="Arial"/>
          <w:sz w:val="20"/>
          <w:szCs w:val="20"/>
          <w:vertAlign w:val="subscript"/>
        </w:rPr>
        <w:t>2</w:t>
      </w:r>
      <w:r w:rsidRPr="00D31B79">
        <w:rPr>
          <w:rFonts w:ascii="Arial" w:hAnsi="Arial" w:cs="Arial"/>
          <w:sz w:val="20"/>
          <w:szCs w:val="20"/>
        </w:rPr>
        <w:t xml:space="preserve"> selectivity [18,19]. Despite their promising characteristics, studies on HPILs synthesized from simple amines such as triethylamine (TEA), diethylamine (DEA), and bis(2-ethylhexyl)amine (BEHA) with the bis(trifluoromethylsulfonyl)imide anion ([T</w:t>
      </w:r>
      <w:r w:rsidR="00C551BA">
        <w:rPr>
          <w:rFonts w:ascii="Arial" w:hAnsi="Arial" w:cs="Arial"/>
          <w:sz w:val="20"/>
          <w:szCs w:val="20"/>
        </w:rPr>
        <w:t>f</w:t>
      </w:r>
      <w:r w:rsidR="00C551BA">
        <w:rPr>
          <w:rFonts w:ascii="Arial" w:hAnsi="Arial" w:cs="Arial"/>
          <w:sz w:val="20"/>
          <w:szCs w:val="20"/>
          <w:vertAlign w:val="subscript"/>
        </w:rPr>
        <w:t>2</w:t>
      </w:r>
      <w:r w:rsidRPr="00D31B79">
        <w:rPr>
          <w:rFonts w:ascii="Arial" w:hAnsi="Arial" w:cs="Arial"/>
          <w:sz w:val="20"/>
          <w:szCs w:val="20"/>
        </w:rPr>
        <w:t>N]</w:t>
      </w:r>
      <w:r w:rsidRPr="00D31B79">
        <w:rPr>
          <w:rFonts w:ascii="Cambria Math" w:hAnsi="Cambria Math" w:cs="Cambria Math"/>
          <w:sz w:val="20"/>
          <w:szCs w:val="20"/>
        </w:rPr>
        <w:t>⁻</w:t>
      </w:r>
      <w:r w:rsidRPr="00D31B79">
        <w:rPr>
          <w:rFonts w:ascii="Arial" w:hAnsi="Arial" w:cs="Arial"/>
          <w:sz w:val="20"/>
          <w:szCs w:val="20"/>
        </w:rPr>
        <w:t>) remain limited. Furthermore, the effects of cation structure and temperature on C</w:t>
      </w:r>
      <w:r w:rsidR="00807BF0">
        <w:rPr>
          <w:rFonts w:ascii="Arial" w:hAnsi="Arial" w:cs="Arial"/>
          <w:sz w:val="20"/>
          <w:szCs w:val="20"/>
        </w:rPr>
        <w:t>O</w:t>
      </w:r>
      <w:r w:rsidR="00807BF0">
        <w:rPr>
          <w:rFonts w:ascii="Arial" w:hAnsi="Arial" w:cs="Arial"/>
          <w:sz w:val="20"/>
          <w:szCs w:val="20"/>
          <w:vertAlign w:val="subscript"/>
        </w:rPr>
        <w:t>2</w:t>
      </w:r>
      <w:r w:rsidRPr="00D31B79">
        <w:rPr>
          <w:rFonts w:ascii="Arial" w:hAnsi="Arial" w:cs="Arial"/>
          <w:sz w:val="20"/>
          <w:szCs w:val="20"/>
        </w:rPr>
        <w:t xml:space="preserve"> solubility in these HPILs are not yet fully understood.</w:t>
      </w:r>
      <w:r w:rsidR="0052258B">
        <w:rPr>
          <w:rFonts w:ascii="Arial" w:hAnsi="Arial" w:cs="Arial"/>
          <w:sz w:val="20"/>
          <w:szCs w:val="20"/>
        </w:rPr>
        <w:t xml:space="preserve"> </w:t>
      </w:r>
      <w:r w:rsidR="00807BF0">
        <w:rPr>
          <w:rFonts w:ascii="Arial" w:hAnsi="Arial" w:cs="Arial"/>
          <w:sz w:val="20"/>
          <w:szCs w:val="20"/>
        </w:rPr>
        <w:t>Thus, i</w:t>
      </w:r>
      <w:r w:rsidRPr="00D31B79">
        <w:rPr>
          <w:rFonts w:ascii="Arial" w:hAnsi="Arial" w:cs="Arial"/>
          <w:sz w:val="20"/>
          <w:szCs w:val="20"/>
        </w:rPr>
        <w:t>n this study, three novel HPILs with different cation structures were synthesized and characterized. Their thermal properties and C</w:t>
      </w:r>
      <w:r w:rsidR="00807BF0">
        <w:rPr>
          <w:rFonts w:ascii="Arial" w:hAnsi="Arial" w:cs="Arial"/>
          <w:sz w:val="20"/>
          <w:szCs w:val="20"/>
        </w:rPr>
        <w:t>O</w:t>
      </w:r>
      <w:r w:rsidR="00807BF0">
        <w:rPr>
          <w:rFonts w:ascii="Arial" w:hAnsi="Arial" w:cs="Arial"/>
          <w:sz w:val="20"/>
          <w:szCs w:val="20"/>
          <w:vertAlign w:val="subscript"/>
        </w:rPr>
        <w:t>2</w:t>
      </w:r>
      <w:r w:rsidRPr="00D31B79">
        <w:rPr>
          <w:rFonts w:ascii="Arial" w:hAnsi="Arial" w:cs="Arial"/>
          <w:sz w:val="20"/>
          <w:szCs w:val="20"/>
        </w:rPr>
        <w:t xml:space="preserve"> absorption behavior were evaluated over a pressure range of 1–20 bar and temperatures of 298.15–333.15 K. Recyclability tests were also conducted to assess their potential as sustainable and efficient solvents for CO</w:t>
      </w:r>
      <w:r w:rsidRPr="00D31B79">
        <w:rPr>
          <w:rFonts w:ascii="Cambria Math" w:hAnsi="Cambria Math" w:cs="Cambria Math"/>
          <w:sz w:val="20"/>
          <w:szCs w:val="20"/>
        </w:rPr>
        <w:t>₂</w:t>
      </w:r>
      <w:r w:rsidRPr="00D31B79">
        <w:rPr>
          <w:rFonts w:ascii="Arial" w:hAnsi="Arial" w:cs="Arial"/>
          <w:sz w:val="20"/>
          <w:szCs w:val="20"/>
        </w:rPr>
        <w:t xml:space="preserve"> capture.</w:t>
      </w:r>
    </w:p>
    <w:p w14:paraId="064892B8" w14:textId="5031189C" w:rsidR="00C96A8F" w:rsidRPr="002E5845" w:rsidRDefault="00D92199" w:rsidP="00C96A8F">
      <w:pPr>
        <w:spacing w:line="360" w:lineRule="auto"/>
        <w:jc w:val="both"/>
        <w:rPr>
          <w:rFonts w:ascii="Arial" w:hAnsi="Arial" w:cs="Arial"/>
          <w:b/>
          <w:bCs/>
          <w:sz w:val="20"/>
          <w:szCs w:val="20"/>
          <w:lang w:val="en-US"/>
        </w:rPr>
      </w:pPr>
      <w:r>
        <w:rPr>
          <w:rFonts w:ascii="Arial" w:hAnsi="Arial" w:cs="Arial"/>
          <w:b/>
          <w:bCs/>
          <w:sz w:val="20"/>
          <w:szCs w:val="20"/>
          <w:lang w:val="en-US"/>
        </w:rPr>
        <w:t xml:space="preserve">2.0 </w:t>
      </w:r>
      <w:r w:rsidR="00844C6F" w:rsidRPr="002E5845">
        <w:rPr>
          <w:rFonts w:ascii="Arial" w:hAnsi="Arial" w:cs="Arial"/>
          <w:b/>
          <w:bCs/>
          <w:sz w:val="20"/>
          <w:szCs w:val="20"/>
          <w:lang w:val="en-US"/>
        </w:rPr>
        <w:t>Materials and Method</w:t>
      </w:r>
      <w:r w:rsidR="00111E01" w:rsidRPr="002E5845">
        <w:rPr>
          <w:rFonts w:ascii="Arial" w:hAnsi="Arial" w:cs="Arial"/>
          <w:b/>
          <w:bCs/>
          <w:sz w:val="20"/>
          <w:szCs w:val="20"/>
          <w:lang w:val="en-US"/>
        </w:rPr>
        <w:t>s</w:t>
      </w:r>
    </w:p>
    <w:p w14:paraId="62A1F987" w14:textId="1D6879E6" w:rsidR="00DE7802" w:rsidRPr="00DE7802" w:rsidRDefault="00B23E68" w:rsidP="00DE7802">
      <w:pPr>
        <w:spacing w:line="360" w:lineRule="auto"/>
        <w:jc w:val="both"/>
        <w:rPr>
          <w:rFonts w:ascii="Arial" w:hAnsi="Arial" w:cs="Arial"/>
          <w:b/>
          <w:bCs/>
          <w:sz w:val="20"/>
          <w:szCs w:val="20"/>
        </w:rPr>
      </w:pPr>
      <w:r w:rsidRPr="002E5845">
        <w:rPr>
          <w:rFonts w:ascii="Arial" w:hAnsi="Arial" w:cs="Arial"/>
          <w:b/>
          <w:bCs/>
          <w:sz w:val="20"/>
          <w:szCs w:val="20"/>
        </w:rPr>
        <w:t>2</w:t>
      </w:r>
      <w:r w:rsidR="00DE7802" w:rsidRPr="00DE7802">
        <w:rPr>
          <w:rFonts w:ascii="Arial" w:hAnsi="Arial" w:cs="Arial"/>
          <w:b/>
          <w:bCs/>
          <w:sz w:val="20"/>
          <w:szCs w:val="20"/>
        </w:rPr>
        <w:t>.1 Materials</w:t>
      </w:r>
    </w:p>
    <w:p w14:paraId="7B9EE612" w14:textId="75251DA0" w:rsidR="003A1EAF" w:rsidRPr="002E5845" w:rsidRDefault="003A1EAF" w:rsidP="00DE7802">
      <w:pPr>
        <w:spacing w:line="360" w:lineRule="auto"/>
        <w:jc w:val="both"/>
        <w:rPr>
          <w:rFonts w:ascii="Arial" w:hAnsi="Arial" w:cs="Arial"/>
          <w:sz w:val="20"/>
          <w:szCs w:val="20"/>
        </w:rPr>
      </w:pPr>
      <w:r w:rsidRPr="002E5845">
        <w:rPr>
          <w:rFonts w:ascii="Arial" w:hAnsi="Arial" w:cs="Arial"/>
          <w:sz w:val="20"/>
          <w:szCs w:val="20"/>
        </w:rPr>
        <w:t xml:space="preserve">All chemicals of analytical grade </w:t>
      </w:r>
      <w:r w:rsidR="006C2F0A">
        <w:rPr>
          <w:rFonts w:ascii="Arial" w:hAnsi="Arial" w:cs="Arial"/>
          <w:sz w:val="20"/>
          <w:szCs w:val="20"/>
        </w:rPr>
        <w:t>were</w:t>
      </w:r>
      <w:r w:rsidRPr="002E5845">
        <w:rPr>
          <w:rFonts w:ascii="Arial" w:hAnsi="Arial" w:cs="Arial"/>
          <w:sz w:val="20"/>
          <w:szCs w:val="20"/>
        </w:rPr>
        <w:t xml:space="preserve"> used without additional purification process for the synthesis of </w:t>
      </w:r>
      <w:r w:rsidR="00241ED7" w:rsidRPr="002E5845">
        <w:rPr>
          <w:rFonts w:ascii="Arial" w:hAnsi="Arial" w:cs="Arial"/>
          <w:sz w:val="20"/>
          <w:szCs w:val="20"/>
        </w:rPr>
        <w:t>HPILs</w:t>
      </w:r>
      <w:r w:rsidRPr="002E5845">
        <w:rPr>
          <w:rFonts w:ascii="Arial" w:hAnsi="Arial" w:cs="Arial"/>
          <w:sz w:val="20"/>
          <w:szCs w:val="20"/>
        </w:rPr>
        <w:t xml:space="preserve"> as well as for CO</w:t>
      </w:r>
      <w:r w:rsidRPr="002E5845">
        <w:rPr>
          <w:rFonts w:ascii="Arial" w:hAnsi="Arial" w:cs="Arial"/>
          <w:sz w:val="20"/>
          <w:szCs w:val="20"/>
          <w:vertAlign w:val="subscript"/>
        </w:rPr>
        <w:t>2</w:t>
      </w:r>
      <w:r w:rsidRPr="002E5845">
        <w:rPr>
          <w:rFonts w:ascii="Arial" w:hAnsi="Arial" w:cs="Arial"/>
          <w:sz w:val="20"/>
          <w:szCs w:val="20"/>
        </w:rPr>
        <w:t xml:space="preserve"> a</w:t>
      </w:r>
      <w:r w:rsidR="00D968A9">
        <w:rPr>
          <w:rFonts w:ascii="Arial" w:hAnsi="Arial" w:cs="Arial"/>
          <w:sz w:val="20"/>
          <w:szCs w:val="20"/>
        </w:rPr>
        <w:t>bsorption</w:t>
      </w:r>
      <w:r w:rsidRPr="002E5845">
        <w:rPr>
          <w:rFonts w:ascii="Arial" w:hAnsi="Arial" w:cs="Arial"/>
          <w:sz w:val="20"/>
          <w:szCs w:val="20"/>
        </w:rPr>
        <w:t>. The CAS number, source and chemical purity are as follows: diethylamine (109-89-7, Merck, 99%), triethylamine (121-44-8, Merck, 99%), bis(2-ethylhexyl)amine (106-20-7, Aldrich Chemistry, 99%), hydrochloric acid (7647-01-0, Fischer Scientific, 37%) , lithium bis(trifluoromethylsulfonyl)imide (90076-65-6, Sigma Aldrich, 99%), dichloromethane (75-09-2, Merck, 99%).</w:t>
      </w:r>
    </w:p>
    <w:p w14:paraId="7D76A90A" w14:textId="3F916150" w:rsidR="009B514C" w:rsidRPr="002E5845" w:rsidRDefault="009B514C" w:rsidP="00DE7802">
      <w:pPr>
        <w:spacing w:line="360" w:lineRule="auto"/>
        <w:jc w:val="both"/>
        <w:rPr>
          <w:rFonts w:ascii="Arial" w:hAnsi="Arial" w:cs="Arial"/>
          <w:b/>
          <w:bCs/>
          <w:sz w:val="20"/>
          <w:szCs w:val="20"/>
        </w:rPr>
      </w:pPr>
      <w:r w:rsidRPr="002E5845">
        <w:rPr>
          <w:rFonts w:ascii="Arial" w:hAnsi="Arial" w:cs="Arial"/>
          <w:b/>
          <w:bCs/>
          <w:sz w:val="20"/>
          <w:szCs w:val="20"/>
        </w:rPr>
        <w:t>2</w:t>
      </w:r>
      <w:r w:rsidR="005155DA" w:rsidRPr="002E5845">
        <w:rPr>
          <w:rFonts w:ascii="Arial" w:hAnsi="Arial" w:cs="Arial"/>
          <w:b/>
          <w:bCs/>
          <w:sz w:val="20"/>
          <w:szCs w:val="20"/>
        </w:rPr>
        <w:t>.2 Synthesis and Characterization</w:t>
      </w:r>
    </w:p>
    <w:p w14:paraId="7A815202" w14:textId="3F564C27" w:rsidR="009B514C" w:rsidRPr="009B514C" w:rsidRDefault="009B514C" w:rsidP="009B514C">
      <w:pPr>
        <w:spacing w:line="360" w:lineRule="auto"/>
        <w:jc w:val="both"/>
        <w:rPr>
          <w:rFonts w:ascii="Arial" w:hAnsi="Arial" w:cs="Arial"/>
          <w:sz w:val="20"/>
          <w:szCs w:val="20"/>
        </w:rPr>
      </w:pPr>
      <w:r w:rsidRPr="009B514C">
        <w:rPr>
          <w:rFonts w:ascii="Arial" w:hAnsi="Arial" w:cs="Arial"/>
          <w:sz w:val="20"/>
          <w:szCs w:val="20"/>
        </w:rPr>
        <w:t xml:space="preserve">Diethylamine (DEA), triethylamine (TEA), and bis(2-ethylhexyl)amine (BEHA) were reacted with hydrochloric acid in equimolar ratios under ice-bath conditions to form [DEA][Cl], [TEA][Cl], and [BEHA][Cl]. Each reaction mixture was stirred for 24 h, dried under </w:t>
      </w:r>
      <w:r w:rsidR="00FB7C52">
        <w:rPr>
          <w:rFonts w:ascii="Arial" w:hAnsi="Arial" w:cs="Arial"/>
          <w:sz w:val="20"/>
          <w:szCs w:val="20"/>
        </w:rPr>
        <w:t>reduced pressure</w:t>
      </w:r>
      <w:r w:rsidRPr="009B514C">
        <w:rPr>
          <w:rFonts w:ascii="Arial" w:hAnsi="Arial" w:cs="Arial"/>
          <w:sz w:val="20"/>
          <w:szCs w:val="20"/>
        </w:rPr>
        <w:t>, and subsequently converted to the corresponding HPILs by anion exchange with lithium bis(trifluoromethylsulfonyl)imide (LiTf</w:t>
      </w:r>
      <w:r w:rsidR="005155DA" w:rsidRPr="002E5845">
        <w:rPr>
          <w:rFonts w:ascii="Arial" w:hAnsi="Arial" w:cs="Arial"/>
          <w:sz w:val="20"/>
          <w:szCs w:val="20"/>
          <w:vertAlign w:val="subscript"/>
        </w:rPr>
        <w:t>2</w:t>
      </w:r>
      <w:r w:rsidRPr="009B514C">
        <w:rPr>
          <w:rFonts w:ascii="Arial" w:hAnsi="Arial" w:cs="Arial"/>
          <w:sz w:val="20"/>
          <w:szCs w:val="20"/>
        </w:rPr>
        <w:t>N) in deionized water. The reaction mixture was stirred for 24 h for [TEA][Tf</w:t>
      </w:r>
      <w:r w:rsidR="005155DA" w:rsidRPr="002E5845">
        <w:rPr>
          <w:rFonts w:ascii="Arial" w:hAnsi="Arial" w:cs="Arial"/>
          <w:sz w:val="20"/>
          <w:szCs w:val="20"/>
          <w:vertAlign w:val="subscript"/>
        </w:rPr>
        <w:t>2</w:t>
      </w:r>
      <w:r w:rsidRPr="009B514C">
        <w:rPr>
          <w:rFonts w:ascii="Arial" w:hAnsi="Arial" w:cs="Arial"/>
          <w:sz w:val="20"/>
          <w:szCs w:val="20"/>
        </w:rPr>
        <w:t>N] and [DEA][Tf</w:t>
      </w:r>
      <w:r w:rsidR="005155DA" w:rsidRPr="002E5845">
        <w:rPr>
          <w:rFonts w:ascii="Arial" w:hAnsi="Arial" w:cs="Arial"/>
          <w:sz w:val="20"/>
          <w:szCs w:val="20"/>
          <w:vertAlign w:val="subscript"/>
        </w:rPr>
        <w:t>2</w:t>
      </w:r>
      <w:r w:rsidRPr="009B514C">
        <w:rPr>
          <w:rFonts w:ascii="Arial" w:hAnsi="Arial" w:cs="Arial"/>
          <w:sz w:val="20"/>
          <w:szCs w:val="20"/>
        </w:rPr>
        <w:t>N], and 48 h for [BEHA][Tf</w:t>
      </w:r>
      <w:r w:rsidR="005155DA" w:rsidRPr="002E5845">
        <w:rPr>
          <w:rFonts w:ascii="Arial" w:hAnsi="Arial" w:cs="Arial"/>
          <w:sz w:val="20"/>
          <w:szCs w:val="20"/>
          <w:vertAlign w:val="subscript"/>
        </w:rPr>
        <w:t>2</w:t>
      </w:r>
      <w:r w:rsidRPr="009B514C">
        <w:rPr>
          <w:rFonts w:ascii="Arial" w:hAnsi="Arial" w:cs="Arial"/>
          <w:sz w:val="20"/>
          <w:szCs w:val="20"/>
        </w:rPr>
        <w:t xml:space="preserve">N]. The ionic liquid layer was extracted using dichloromethane and dried by </w:t>
      </w:r>
      <w:r w:rsidRPr="009B514C">
        <w:rPr>
          <w:rFonts w:ascii="Arial" w:hAnsi="Arial" w:cs="Arial"/>
          <w:sz w:val="20"/>
          <w:szCs w:val="20"/>
        </w:rPr>
        <w:lastRenderedPageBreak/>
        <w:t>rotary evaporation. All HPILs were obtained as liquids, except [DEA][Tf</w:t>
      </w:r>
      <w:r w:rsidR="005155DA" w:rsidRPr="002E5845">
        <w:rPr>
          <w:rFonts w:ascii="Arial" w:hAnsi="Arial" w:cs="Arial"/>
          <w:sz w:val="20"/>
          <w:szCs w:val="20"/>
          <w:vertAlign w:val="subscript"/>
        </w:rPr>
        <w:t>2</w:t>
      </w:r>
      <w:r w:rsidRPr="009B514C">
        <w:rPr>
          <w:rFonts w:ascii="Arial" w:hAnsi="Arial" w:cs="Arial"/>
          <w:sz w:val="20"/>
          <w:szCs w:val="20"/>
        </w:rPr>
        <w:t>N], which remained solid at room temperature.</w:t>
      </w:r>
    </w:p>
    <w:p w14:paraId="4E3406BE" w14:textId="3D3A9204" w:rsidR="009B514C" w:rsidRPr="009B514C" w:rsidRDefault="009B514C" w:rsidP="009B514C">
      <w:pPr>
        <w:spacing w:line="360" w:lineRule="auto"/>
        <w:jc w:val="both"/>
        <w:rPr>
          <w:rFonts w:ascii="Arial" w:hAnsi="Arial" w:cs="Arial"/>
          <w:sz w:val="20"/>
          <w:szCs w:val="20"/>
        </w:rPr>
      </w:pPr>
      <w:r w:rsidRPr="009B514C">
        <w:rPr>
          <w:rFonts w:ascii="Arial" w:hAnsi="Arial" w:cs="Arial"/>
          <w:sz w:val="20"/>
          <w:szCs w:val="20"/>
        </w:rPr>
        <w:t xml:space="preserve">Structural confirmation was performed using </w:t>
      </w:r>
      <w:r w:rsidR="005155DA" w:rsidRPr="002E5845">
        <w:rPr>
          <w:rFonts w:ascii="Arial" w:hAnsi="Arial" w:cs="Arial"/>
          <w:sz w:val="20"/>
          <w:szCs w:val="20"/>
          <w:vertAlign w:val="superscript"/>
        </w:rPr>
        <w:t>1</w:t>
      </w:r>
      <w:r w:rsidRPr="009B514C">
        <w:rPr>
          <w:rFonts w:ascii="Arial" w:hAnsi="Arial" w:cs="Arial"/>
          <w:sz w:val="20"/>
          <w:szCs w:val="20"/>
        </w:rPr>
        <w:t xml:space="preserve">H and </w:t>
      </w:r>
      <w:r w:rsidR="005155DA" w:rsidRPr="002E5845">
        <w:rPr>
          <w:rFonts w:ascii="Arial" w:hAnsi="Arial" w:cs="Arial"/>
          <w:sz w:val="20"/>
          <w:szCs w:val="20"/>
          <w:vertAlign w:val="superscript"/>
        </w:rPr>
        <w:t>13</w:t>
      </w:r>
      <w:r w:rsidRPr="009B514C">
        <w:rPr>
          <w:rFonts w:ascii="Arial" w:hAnsi="Arial" w:cs="Arial"/>
          <w:sz w:val="20"/>
          <w:szCs w:val="20"/>
        </w:rPr>
        <w:t>C NMR (Bruker Avance III, 500 MHz). Water content was determined via coulometric Karl Fischer titration (Mettler Toledo V30). Thermal stability</w:t>
      </w:r>
      <w:r w:rsidR="00B32E6E">
        <w:rPr>
          <w:rFonts w:ascii="Arial" w:hAnsi="Arial" w:cs="Arial"/>
          <w:sz w:val="20"/>
          <w:szCs w:val="20"/>
        </w:rPr>
        <w:t xml:space="preserve"> was </w:t>
      </w:r>
      <w:r w:rsidR="005155DA" w:rsidRPr="002E5845">
        <w:rPr>
          <w:rFonts w:ascii="Arial" w:hAnsi="Arial" w:cs="Arial"/>
          <w:sz w:val="20"/>
          <w:szCs w:val="20"/>
        </w:rPr>
        <w:t>analysed</w:t>
      </w:r>
      <w:r w:rsidRPr="009B514C">
        <w:rPr>
          <w:rFonts w:ascii="Arial" w:hAnsi="Arial" w:cs="Arial"/>
          <w:sz w:val="20"/>
          <w:szCs w:val="20"/>
        </w:rPr>
        <w:t xml:space="preserve"> using a PerkinElmer STA 6000 thermogravimetric </w:t>
      </w:r>
      <w:r w:rsidR="005155DA" w:rsidRPr="002E5845">
        <w:rPr>
          <w:rFonts w:ascii="Arial" w:hAnsi="Arial" w:cs="Arial"/>
          <w:sz w:val="20"/>
          <w:szCs w:val="20"/>
        </w:rPr>
        <w:t>analyse</w:t>
      </w:r>
      <w:r w:rsidR="00B32E6E">
        <w:rPr>
          <w:rFonts w:ascii="Arial" w:hAnsi="Arial" w:cs="Arial"/>
          <w:sz w:val="20"/>
          <w:szCs w:val="20"/>
        </w:rPr>
        <w:t>r.</w:t>
      </w:r>
    </w:p>
    <w:p w14:paraId="3CF39625" w14:textId="2A3BD496" w:rsidR="009B514C" w:rsidRPr="002E5845" w:rsidRDefault="009B514C" w:rsidP="009B514C">
      <w:pPr>
        <w:spacing w:line="360" w:lineRule="auto"/>
        <w:jc w:val="both"/>
        <w:rPr>
          <w:rFonts w:ascii="Arial" w:hAnsi="Arial" w:cs="Arial"/>
          <w:sz w:val="20"/>
          <w:szCs w:val="20"/>
        </w:rPr>
      </w:pPr>
      <w:r w:rsidRPr="009B514C">
        <w:rPr>
          <w:rFonts w:ascii="Arial" w:hAnsi="Arial" w:cs="Arial"/>
          <w:sz w:val="20"/>
          <w:szCs w:val="20"/>
        </w:rPr>
        <w:t xml:space="preserve">The densities of the liquid HPILs were measured using a 2 mL glass pycnometer between 293.15 and 333.15 K, while the solid-state density was measured at </w:t>
      </w:r>
      <w:r w:rsidR="00C243B2">
        <w:rPr>
          <w:rFonts w:ascii="Arial" w:hAnsi="Arial" w:cs="Arial"/>
          <w:sz w:val="20"/>
          <w:szCs w:val="20"/>
        </w:rPr>
        <w:t>298.15K</w:t>
      </w:r>
      <w:r w:rsidRPr="009B514C">
        <w:rPr>
          <w:rFonts w:ascii="Arial" w:hAnsi="Arial" w:cs="Arial"/>
          <w:sz w:val="20"/>
          <w:szCs w:val="20"/>
        </w:rPr>
        <w:t xml:space="preserve"> using a Micromeritics AccuPyc II gas pycnometer. Refractive indices were determined in triplicate using an ATAGO RX-5000 Alpha digital refractometer within the same temperature range.</w:t>
      </w:r>
    </w:p>
    <w:p w14:paraId="417602AD" w14:textId="1DCE08D6" w:rsidR="005155DA" w:rsidRPr="009B514C" w:rsidRDefault="005155DA" w:rsidP="009B514C">
      <w:pPr>
        <w:spacing w:line="360" w:lineRule="auto"/>
        <w:jc w:val="both"/>
        <w:rPr>
          <w:rFonts w:ascii="Arial" w:hAnsi="Arial" w:cs="Arial"/>
          <w:b/>
          <w:bCs/>
          <w:sz w:val="20"/>
          <w:szCs w:val="20"/>
        </w:rPr>
      </w:pPr>
      <w:r w:rsidRPr="002E5845">
        <w:rPr>
          <w:rFonts w:ascii="Arial" w:hAnsi="Arial" w:cs="Arial"/>
          <w:b/>
          <w:bCs/>
          <w:sz w:val="20"/>
          <w:szCs w:val="20"/>
        </w:rPr>
        <w:t>2.3 CO</w:t>
      </w:r>
      <w:r w:rsidRPr="002E5845">
        <w:rPr>
          <w:rFonts w:ascii="Arial" w:hAnsi="Arial" w:cs="Arial"/>
          <w:b/>
          <w:bCs/>
          <w:sz w:val="20"/>
          <w:szCs w:val="20"/>
          <w:vertAlign w:val="subscript"/>
        </w:rPr>
        <w:t>2</w:t>
      </w:r>
      <w:r w:rsidRPr="002E5845">
        <w:rPr>
          <w:rFonts w:ascii="Arial" w:hAnsi="Arial" w:cs="Arial"/>
          <w:b/>
          <w:bCs/>
          <w:sz w:val="20"/>
          <w:szCs w:val="20"/>
        </w:rPr>
        <w:t xml:space="preserve"> Absorption and Recyclability</w:t>
      </w:r>
    </w:p>
    <w:p w14:paraId="1FFABF1F" w14:textId="167324CC" w:rsidR="001556DD" w:rsidRPr="002E5845" w:rsidRDefault="009B514C" w:rsidP="00DE7802">
      <w:pPr>
        <w:spacing w:line="360" w:lineRule="auto"/>
        <w:jc w:val="both"/>
        <w:rPr>
          <w:rFonts w:ascii="Arial" w:hAnsi="Arial" w:cs="Arial"/>
          <w:sz w:val="20"/>
          <w:szCs w:val="20"/>
        </w:rPr>
      </w:pPr>
      <w:r w:rsidRPr="009B514C">
        <w:rPr>
          <w:rFonts w:ascii="Arial" w:hAnsi="Arial" w:cs="Arial"/>
          <w:sz w:val="20"/>
          <w:szCs w:val="20"/>
        </w:rPr>
        <w:t>C</w:t>
      </w:r>
      <w:r w:rsidR="00B32E6E">
        <w:rPr>
          <w:rFonts w:ascii="Arial" w:hAnsi="Arial" w:cs="Arial"/>
          <w:sz w:val="20"/>
          <w:szCs w:val="20"/>
        </w:rPr>
        <w:t>O</w:t>
      </w:r>
      <w:r w:rsidR="00B32E6E">
        <w:rPr>
          <w:rFonts w:ascii="Arial" w:hAnsi="Arial" w:cs="Arial"/>
          <w:sz w:val="20"/>
          <w:szCs w:val="20"/>
          <w:vertAlign w:val="subscript"/>
        </w:rPr>
        <w:t>2</w:t>
      </w:r>
      <w:r w:rsidRPr="009B514C">
        <w:rPr>
          <w:rFonts w:ascii="Arial" w:hAnsi="Arial" w:cs="Arial"/>
          <w:sz w:val="20"/>
          <w:szCs w:val="20"/>
        </w:rPr>
        <w:t xml:space="preserve"> solubility was measured using a pressure-drop method with a stainless-steel equilibrium cell maintained at 298.15, 313.15, and 333.15K over pressures of 1–20 bar. The absorbed moles of CO</w:t>
      </w:r>
      <w:r w:rsidR="00434C0C" w:rsidRPr="00434C0C">
        <w:rPr>
          <w:rFonts w:ascii="Arial" w:hAnsi="Arial" w:cs="Arial"/>
          <w:sz w:val="20"/>
          <w:szCs w:val="20"/>
          <w:vertAlign w:val="subscript"/>
        </w:rPr>
        <w:t>2</w:t>
      </w:r>
      <w:r w:rsidRPr="009B514C">
        <w:rPr>
          <w:rFonts w:ascii="Arial" w:hAnsi="Arial" w:cs="Arial"/>
          <w:sz w:val="20"/>
          <w:szCs w:val="20"/>
        </w:rPr>
        <w:t xml:space="preserve"> and Henry’s law constants were calculated from pressure–volume data using the equations provided in </w:t>
      </w:r>
      <w:r w:rsidRPr="00267703">
        <w:rPr>
          <w:rFonts w:ascii="Arial" w:hAnsi="Arial" w:cs="Arial"/>
          <w:b/>
          <w:bCs/>
          <w:sz w:val="20"/>
          <w:szCs w:val="20"/>
          <w:highlight w:val="yellow"/>
        </w:rPr>
        <w:t>Appendix A</w:t>
      </w:r>
      <w:r w:rsidRPr="00267703">
        <w:rPr>
          <w:rFonts w:ascii="Arial" w:hAnsi="Arial" w:cs="Arial"/>
          <w:sz w:val="20"/>
          <w:szCs w:val="20"/>
          <w:highlight w:val="yellow"/>
        </w:rPr>
        <w:t>.</w:t>
      </w:r>
      <w:r w:rsidRPr="009B514C">
        <w:rPr>
          <w:rFonts w:ascii="Arial" w:hAnsi="Arial" w:cs="Arial"/>
          <w:sz w:val="20"/>
          <w:szCs w:val="20"/>
        </w:rPr>
        <w:t xml:space="preserve"> The HPIL with the highest CO</w:t>
      </w:r>
      <w:r w:rsidR="002E5845" w:rsidRPr="002E5845">
        <w:rPr>
          <w:rFonts w:ascii="Arial" w:hAnsi="Arial" w:cs="Arial"/>
          <w:sz w:val="20"/>
          <w:szCs w:val="20"/>
          <w:vertAlign w:val="subscript"/>
        </w:rPr>
        <w:t>2</w:t>
      </w:r>
      <w:r w:rsidRPr="009B514C">
        <w:rPr>
          <w:rFonts w:ascii="Arial" w:hAnsi="Arial" w:cs="Arial"/>
          <w:sz w:val="20"/>
          <w:szCs w:val="20"/>
        </w:rPr>
        <w:t xml:space="preserve"> capacity was tested for recyclability through two absorption–desorption cycles, regenerated at 60°C for 2 h, and re</w:t>
      </w:r>
      <w:r w:rsidR="00EA522F">
        <w:rPr>
          <w:rFonts w:ascii="Arial" w:hAnsi="Arial" w:cs="Arial"/>
          <w:sz w:val="20"/>
          <w:szCs w:val="20"/>
        </w:rPr>
        <w:t>-</w:t>
      </w:r>
      <w:r w:rsidR="00434C0C" w:rsidRPr="009B514C">
        <w:rPr>
          <w:rFonts w:ascii="Arial" w:hAnsi="Arial" w:cs="Arial"/>
          <w:sz w:val="20"/>
          <w:szCs w:val="20"/>
        </w:rPr>
        <w:t>analysed</w:t>
      </w:r>
      <w:r w:rsidRPr="009B514C">
        <w:rPr>
          <w:rFonts w:ascii="Arial" w:hAnsi="Arial" w:cs="Arial"/>
          <w:sz w:val="20"/>
          <w:szCs w:val="20"/>
        </w:rPr>
        <w:t xml:space="preserve"> by FTIR</w:t>
      </w:r>
      <w:r w:rsidR="005C4913">
        <w:rPr>
          <w:rFonts w:ascii="Arial" w:hAnsi="Arial" w:cs="Arial"/>
          <w:sz w:val="20"/>
          <w:szCs w:val="20"/>
        </w:rPr>
        <w:t xml:space="preserve"> and </w:t>
      </w:r>
      <w:r w:rsidR="005C4913">
        <w:rPr>
          <w:rFonts w:ascii="Arial" w:hAnsi="Arial" w:cs="Arial"/>
          <w:sz w:val="20"/>
          <w:szCs w:val="20"/>
          <w:vertAlign w:val="superscript"/>
        </w:rPr>
        <w:t>1</w:t>
      </w:r>
      <w:r w:rsidR="005C4913">
        <w:rPr>
          <w:rFonts w:ascii="Arial" w:hAnsi="Arial" w:cs="Arial"/>
          <w:sz w:val="20"/>
          <w:szCs w:val="20"/>
        </w:rPr>
        <w:t>H NMR</w:t>
      </w:r>
      <w:r w:rsidRPr="009B514C">
        <w:rPr>
          <w:rFonts w:ascii="Arial" w:hAnsi="Arial" w:cs="Arial"/>
          <w:sz w:val="20"/>
          <w:szCs w:val="20"/>
        </w:rPr>
        <w:t xml:space="preserve"> to confirm structural stability.</w:t>
      </w:r>
    </w:p>
    <w:p w14:paraId="06DC2FA8" w14:textId="0689F669" w:rsidR="00B1481A" w:rsidRDefault="00B1481A" w:rsidP="00B1481A">
      <w:pPr>
        <w:spacing w:line="360" w:lineRule="auto"/>
        <w:jc w:val="both"/>
        <w:rPr>
          <w:rFonts w:ascii="Arial" w:hAnsi="Arial" w:cs="Arial"/>
          <w:b/>
          <w:bCs/>
          <w:sz w:val="20"/>
          <w:szCs w:val="20"/>
        </w:rPr>
      </w:pPr>
      <w:r>
        <w:rPr>
          <w:rFonts w:ascii="Arial" w:hAnsi="Arial" w:cs="Arial"/>
          <w:b/>
          <w:bCs/>
          <w:sz w:val="20"/>
          <w:szCs w:val="20"/>
        </w:rPr>
        <w:t>3.</w:t>
      </w:r>
      <w:r w:rsidR="00D92199">
        <w:rPr>
          <w:rFonts w:ascii="Arial" w:hAnsi="Arial" w:cs="Arial"/>
          <w:b/>
          <w:bCs/>
          <w:sz w:val="20"/>
          <w:szCs w:val="20"/>
        </w:rPr>
        <w:t>0</w:t>
      </w:r>
      <w:r>
        <w:rPr>
          <w:rFonts w:ascii="Arial" w:hAnsi="Arial" w:cs="Arial"/>
          <w:b/>
          <w:bCs/>
          <w:sz w:val="20"/>
          <w:szCs w:val="20"/>
        </w:rPr>
        <w:t xml:space="preserve"> </w:t>
      </w:r>
      <w:r w:rsidRPr="00B1481A">
        <w:rPr>
          <w:rFonts w:ascii="Arial" w:hAnsi="Arial" w:cs="Arial"/>
          <w:b/>
          <w:bCs/>
          <w:sz w:val="20"/>
          <w:szCs w:val="20"/>
        </w:rPr>
        <w:t>Results and Discussion</w:t>
      </w:r>
    </w:p>
    <w:p w14:paraId="6D630114" w14:textId="481BC895" w:rsidR="004501B5" w:rsidRDefault="004501B5" w:rsidP="00BC6B14">
      <w:pPr>
        <w:spacing w:line="360" w:lineRule="auto"/>
        <w:jc w:val="both"/>
        <w:rPr>
          <w:rFonts w:ascii="Arial" w:hAnsi="Arial" w:cs="Arial"/>
          <w:b/>
          <w:bCs/>
          <w:sz w:val="20"/>
          <w:szCs w:val="20"/>
        </w:rPr>
      </w:pPr>
      <w:r>
        <w:rPr>
          <w:rFonts w:ascii="Arial" w:hAnsi="Arial" w:cs="Arial"/>
          <w:b/>
          <w:bCs/>
          <w:sz w:val="20"/>
          <w:szCs w:val="20"/>
        </w:rPr>
        <w:t xml:space="preserve">3.1 </w:t>
      </w:r>
      <w:r w:rsidR="00CE2896">
        <w:rPr>
          <w:rFonts w:ascii="Arial" w:hAnsi="Arial" w:cs="Arial"/>
          <w:b/>
          <w:bCs/>
          <w:sz w:val="20"/>
          <w:szCs w:val="20"/>
        </w:rPr>
        <w:t>Structural Confirmation</w:t>
      </w:r>
    </w:p>
    <w:p w14:paraId="2E3A915D" w14:textId="65CFBBC2" w:rsidR="00BC6B14" w:rsidRPr="00BC6B14" w:rsidRDefault="00BC6B14" w:rsidP="00BC6B14">
      <w:pPr>
        <w:spacing w:line="360" w:lineRule="auto"/>
        <w:jc w:val="both"/>
        <w:rPr>
          <w:rFonts w:ascii="Arial" w:hAnsi="Arial" w:cs="Arial"/>
          <w:sz w:val="20"/>
          <w:szCs w:val="20"/>
        </w:rPr>
      </w:pPr>
      <w:r w:rsidRPr="00BC6B14">
        <w:rPr>
          <w:rFonts w:ascii="Arial" w:hAnsi="Arial" w:cs="Arial"/>
          <w:sz w:val="20"/>
          <w:szCs w:val="20"/>
        </w:rPr>
        <w:t xml:space="preserve">The </w:t>
      </w:r>
      <w:r w:rsidRPr="00BC6B14">
        <w:rPr>
          <w:rFonts w:ascii="Arial" w:hAnsi="Arial" w:cs="Arial"/>
          <w:sz w:val="20"/>
          <w:szCs w:val="20"/>
          <w:vertAlign w:val="superscript"/>
        </w:rPr>
        <w:t>1</w:t>
      </w:r>
      <w:r w:rsidRPr="00BC6B14">
        <w:rPr>
          <w:rFonts w:ascii="Arial" w:hAnsi="Arial" w:cs="Arial"/>
          <w:sz w:val="20"/>
          <w:szCs w:val="20"/>
        </w:rPr>
        <w:t xml:space="preserve">H and </w:t>
      </w:r>
      <w:r w:rsidRPr="00BC6B14">
        <w:rPr>
          <w:rFonts w:ascii="Arial" w:hAnsi="Arial" w:cs="Arial"/>
          <w:sz w:val="20"/>
          <w:szCs w:val="20"/>
          <w:vertAlign w:val="superscript"/>
        </w:rPr>
        <w:t>13</w:t>
      </w:r>
      <w:r w:rsidRPr="00BC6B14">
        <w:rPr>
          <w:rFonts w:ascii="Arial" w:hAnsi="Arial" w:cs="Arial"/>
          <w:sz w:val="20"/>
          <w:szCs w:val="20"/>
        </w:rPr>
        <w:t>C NMR data for each ionic liquid are summarized below, along with the measured water content</w:t>
      </w:r>
      <w:r w:rsidR="0035524F">
        <w:rPr>
          <w:rFonts w:ascii="Arial" w:hAnsi="Arial" w:cs="Arial"/>
          <w:sz w:val="20"/>
          <w:szCs w:val="20"/>
        </w:rPr>
        <w:t>,</w:t>
      </w:r>
      <w:r w:rsidR="0035524F" w:rsidRPr="0035524F">
        <w:t xml:space="preserve"> </w:t>
      </w:r>
      <w:r w:rsidR="0035524F" w:rsidRPr="0035524F">
        <w:rPr>
          <w:rFonts w:ascii="Arial" w:hAnsi="Arial" w:cs="Arial"/>
          <w:sz w:val="20"/>
          <w:szCs w:val="20"/>
        </w:rPr>
        <w:t>confirming that all HPILs were successfully synthesized.</w:t>
      </w:r>
    </w:p>
    <w:p w14:paraId="0D3E552A" w14:textId="63BAD390" w:rsidR="00267703" w:rsidRDefault="00BC6B14" w:rsidP="00BC6B14">
      <w:pPr>
        <w:spacing w:line="360" w:lineRule="auto"/>
        <w:jc w:val="both"/>
        <w:rPr>
          <w:rFonts w:ascii="Arial" w:hAnsi="Arial" w:cs="Arial"/>
          <w:sz w:val="20"/>
          <w:szCs w:val="20"/>
        </w:rPr>
      </w:pPr>
      <w:r w:rsidRPr="00BC6B14">
        <w:rPr>
          <w:rFonts w:ascii="Arial" w:hAnsi="Arial" w:cs="Arial"/>
          <w:b/>
          <w:bCs/>
          <w:sz w:val="20"/>
          <w:szCs w:val="20"/>
        </w:rPr>
        <w:t>[DEA][Cl]:</w:t>
      </w:r>
      <w:r w:rsidRPr="00BC6B14">
        <w:rPr>
          <w:rFonts w:ascii="Arial" w:hAnsi="Arial" w:cs="Arial"/>
          <w:sz w:val="20"/>
          <w:szCs w:val="20"/>
        </w:rPr>
        <w:t xml:space="preserve"> </w:t>
      </w:r>
      <w:r w:rsidRPr="00BC6B14">
        <w:rPr>
          <w:rFonts w:ascii="Arial" w:hAnsi="Arial" w:cs="Arial"/>
          <w:sz w:val="20"/>
          <w:szCs w:val="20"/>
          <w:vertAlign w:val="superscript"/>
        </w:rPr>
        <w:t>1</w:t>
      </w:r>
      <w:r w:rsidRPr="00BC6B14">
        <w:rPr>
          <w:rFonts w:ascii="Arial" w:hAnsi="Arial" w:cs="Arial"/>
          <w:sz w:val="20"/>
          <w:szCs w:val="20"/>
        </w:rPr>
        <w:t>H NMR (500 MHz, CDCl</w:t>
      </w:r>
      <w:r w:rsidRPr="00ED4FD8">
        <w:rPr>
          <w:rFonts w:ascii="Arial" w:hAnsi="Arial" w:cs="Arial"/>
          <w:sz w:val="20"/>
          <w:szCs w:val="20"/>
          <w:vertAlign w:val="subscript"/>
        </w:rPr>
        <w:t>3</w:t>
      </w:r>
      <w:r w:rsidRPr="00BC6B14">
        <w:rPr>
          <w:rFonts w:ascii="Arial" w:hAnsi="Arial" w:cs="Arial"/>
          <w:sz w:val="20"/>
          <w:szCs w:val="20"/>
        </w:rPr>
        <w:t>): δ 9.339 [s, 1H, RN</w:t>
      </w:r>
      <w:r w:rsidRPr="00ED4FD8">
        <w:rPr>
          <w:rFonts w:ascii="Arial" w:hAnsi="Arial" w:cs="Arial"/>
          <w:sz w:val="20"/>
          <w:szCs w:val="20"/>
          <w:vertAlign w:val="superscript"/>
        </w:rPr>
        <w:t>+</w:t>
      </w:r>
      <w:r w:rsidRPr="00BC6B14">
        <w:rPr>
          <w:rFonts w:ascii="Arial" w:hAnsi="Arial" w:cs="Arial"/>
          <w:sz w:val="20"/>
          <w:szCs w:val="20"/>
        </w:rPr>
        <w:t>H</w:t>
      </w:r>
      <w:r w:rsidRPr="00ED4FD8">
        <w:rPr>
          <w:rFonts w:ascii="Arial" w:hAnsi="Arial" w:cs="Arial"/>
          <w:sz w:val="20"/>
          <w:szCs w:val="20"/>
          <w:vertAlign w:val="subscript"/>
        </w:rPr>
        <w:t>2</w:t>
      </w:r>
      <w:r w:rsidRPr="00BC6B14">
        <w:rPr>
          <w:rFonts w:ascii="Arial" w:hAnsi="Arial" w:cs="Arial"/>
          <w:sz w:val="20"/>
          <w:szCs w:val="20"/>
        </w:rPr>
        <w:t>], 3.309 [s, 1H, R-NH], 2.979 [q, 4H, N-CH</w:t>
      </w:r>
      <w:r w:rsidRPr="00ED4FD8">
        <w:rPr>
          <w:rFonts w:ascii="Arial" w:hAnsi="Arial" w:cs="Arial"/>
          <w:sz w:val="20"/>
          <w:szCs w:val="20"/>
          <w:vertAlign w:val="subscript"/>
        </w:rPr>
        <w:t>2</w:t>
      </w:r>
      <w:r w:rsidRPr="00BC6B14">
        <w:rPr>
          <w:rFonts w:ascii="Arial" w:hAnsi="Arial" w:cs="Arial"/>
          <w:sz w:val="20"/>
          <w:szCs w:val="20"/>
        </w:rPr>
        <w:t>], 1.408 [t, 6H, CH</w:t>
      </w:r>
      <w:r w:rsidRPr="00ED4FD8">
        <w:rPr>
          <w:rFonts w:ascii="Arial" w:hAnsi="Arial" w:cs="Arial"/>
          <w:sz w:val="20"/>
          <w:szCs w:val="20"/>
          <w:vertAlign w:val="subscript"/>
        </w:rPr>
        <w:t>3</w:t>
      </w:r>
      <w:r w:rsidRPr="00BC6B14">
        <w:rPr>
          <w:rFonts w:ascii="Arial" w:hAnsi="Arial" w:cs="Arial"/>
          <w:sz w:val="20"/>
          <w:szCs w:val="20"/>
        </w:rPr>
        <w:t xml:space="preserve">]. </w:t>
      </w:r>
      <w:r w:rsidRPr="00ED4FD8">
        <w:rPr>
          <w:rFonts w:ascii="Arial" w:hAnsi="Arial" w:cs="Arial"/>
          <w:sz w:val="20"/>
          <w:szCs w:val="20"/>
          <w:vertAlign w:val="superscript"/>
        </w:rPr>
        <w:t>13</w:t>
      </w:r>
      <w:r w:rsidRPr="00BC6B14">
        <w:rPr>
          <w:rFonts w:ascii="Arial" w:hAnsi="Arial" w:cs="Arial"/>
          <w:sz w:val="20"/>
          <w:szCs w:val="20"/>
        </w:rPr>
        <w:t>C NMR (125 MHz, CDCl</w:t>
      </w:r>
      <w:r w:rsidRPr="00ED4FD8">
        <w:rPr>
          <w:rFonts w:ascii="Arial" w:hAnsi="Arial" w:cs="Arial"/>
          <w:sz w:val="20"/>
          <w:szCs w:val="20"/>
          <w:vertAlign w:val="subscript"/>
        </w:rPr>
        <w:t>3</w:t>
      </w:r>
      <w:r w:rsidRPr="00BC6B14">
        <w:rPr>
          <w:rFonts w:ascii="Arial" w:hAnsi="Arial" w:cs="Arial"/>
          <w:sz w:val="20"/>
          <w:szCs w:val="20"/>
        </w:rPr>
        <w:t>): δ 42.31, 11.17. Water content: 1.579%.</w:t>
      </w:r>
    </w:p>
    <w:p w14:paraId="2434DB84" w14:textId="75F21920" w:rsidR="00BC6B14" w:rsidRPr="00BC6B14" w:rsidRDefault="00BC6B14" w:rsidP="00BC6B14">
      <w:pPr>
        <w:spacing w:line="360" w:lineRule="auto"/>
        <w:jc w:val="both"/>
        <w:rPr>
          <w:rFonts w:ascii="Arial" w:hAnsi="Arial" w:cs="Arial"/>
          <w:sz w:val="20"/>
          <w:szCs w:val="20"/>
        </w:rPr>
      </w:pPr>
      <w:r w:rsidRPr="00ED4FD8">
        <w:rPr>
          <w:rFonts w:ascii="Arial" w:hAnsi="Arial" w:cs="Arial"/>
          <w:b/>
          <w:bCs/>
          <w:sz w:val="20"/>
          <w:szCs w:val="20"/>
        </w:rPr>
        <w:t>[DEA][Tf</w:t>
      </w:r>
      <w:r w:rsidRPr="00ED4FD8">
        <w:rPr>
          <w:rFonts w:ascii="Arial" w:hAnsi="Arial" w:cs="Arial"/>
          <w:b/>
          <w:bCs/>
          <w:sz w:val="20"/>
          <w:szCs w:val="20"/>
          <w:vertAlign w:val="subscript"/>
        </w:rPr>
        <w:t>2</w:t>
      </w:r>
      <w:r w:rsidRPr="00ED4FD8">
        <w:rPr>
          <w:rFonts w:ascii="Arial" w:hAnsi="Arial" w:cs="Arial"/>
          <w:b/>
          <w:bCs/>
          <w:sz w:val="20"/>
          <w:szCs w:val="20"/>
        </w:rPr>
        <w:t>N]:</w:t>
      </w:r>
      <w:r w:rsidRPr="00BC6B14">
        <w:rPr>
          <w:rFonts w:ascii="Arial" w:hAnsi="Arial" w:cs="Arial"/>
          <w:sz w:val="20"/>
          <w:szCs w:val="20"/>
        </w:rPr>
        <w:t xml:space="preserve"> </w:t>
      </w:r>
      <w:r w:rsidRPr="00ED4FD8">
        <w:rPr>
          <w:rFonts w:ascii="Arial" w:hAnsi="Arial" w:cs="Arial"/>
          <w:sz w:val="20"/>
          <w:szCs w:val="20"/>
          <w:vertAlign w:val="superscript"/>
        </w:rPr>
        <w:t>1</w:t>
      </w:r>
      <w:r w:rsidRPr="00BC6B14">
        <w:rPr>
          <w:rFonts w:ascii="Arial" w:hAnsi="Arial" w:cs="Arial"/>
          <w:sz w:val="20"/>
          <w:szCs w:val="20"/>
        </w:rPr>
        <w:t>H NMR (500 MHz, DMSO): δ 8.179 [s, 1H, RN</w:t>
      </w:r>
      <w:r w:rsidRPr="00ED4FD8">
        <w:rPr>
          <w:rFonts w:ascii="Arial" w:hAnsi="Arial" w:cs="Arial"/>
          <w:sz w:val="20"/>
          <w:szCs w:val="20"/>
          <w:vertAlign w:val="superscript"/>
        </w:rPr>
        <w:t>+</w:t>
      </w:r>
      <w:r w:rsidRPr="00BC6B14">
        <w:rPr>
          <w:rFonts w:ascii="Arial" w:hAnsi="Arial" w:cs="Arial"/>
          <w:sz w:val="20"/>
          <w:szCs w:val="20"/>
        </w:rPr>
        <w:t>H</w:t>
      </w:r>
      <w:r w:rsidRPr="00ED4FD8">
        <w:rPr>
          <w:rFonts w:ascii="Arial" w:hAnsi="Arial" w:cs="Arial"/>
          <w:sz w:val="20"/>
          <w:szCs w:val="20"/>
          <w:vertAlign w:val="subscript"/>
        </w:rPr>
        <w:t>2</w:t>
      </w:r>
      <w:r w:rsidRPr="00BC6B14">
        <w:rPr>
          <w:rFonts w:ascii="Arial" w:hAnsi="Arial" w:cs="Arial"/>
          <w:sz w:val="20"/>
          <w:szCs w:val="20"/>
        </w:rPr>
        <w:t>], 2.935 [q, 4H, N-CH</w:t>
      </w:r>
      <w:r w:rsidRPr="00ED4FD8">
        <w:rPr>
          <w:rFonts w:ascii="Arial" w:hAnsi="Arial" w:cs="Arial"/>
          <w:sz w:val="20"/>
          <w:szCs w:val="20"/>
          <w:vertAlign w:val="subscript"/>
        </w:rPr>
        <w:t>2</w:t>
      </w:r>
      <w:r w:rsidRPr="00BC6B14">
        <w:rPr>
          <w:rFonts w:ascii="Arial" w:hAnsi="Arial" w:cs="Arial"/>
          <w:sz w:val="20"/>
          <w:szCs w:val="20"/>
        </w:rPr>
        <w:t>], 1.160 [t, 6H, CH</w:t>
      </w:r>
      <w:r w:rsidRPr="00ED4FD8">
        <w:rPr>
          <w:rFonts w:ascii="Arial" w:hAnsi="Arial" w:cs="Arial"/>
          <w:sz w:val="20"/>
          <w:szCs w:val="20"/>
          <w:vertAlign w:val="subscript"/>
        </w:rPr>
        <w:t>3</w:t>
      </w:r>
      <w:r w:rsidRPr="00BC6B14">
        <w:rPr>
          <w:rFonts w:ascii="Arial" w:hAnsi="Arial" w:cs="Arial"/>
          <w:sz w:val="20"/>
          <w:szCs w:val="20"/>
        </w:rPr>
        <w:t xml:space="preserve">]. </w:t>
      </w:r>
      <w:r w:rsidRPr="00ED4FD8">
        <w:rPr>
          <w:rFonts w:ascii="Arial" w:hAnsi="Arial" w:cs="Arial"/>
          <w:sz w:val="20"/>
          <w:szCs w:val="20"/>
          <w:vertAlign w:val="superscript"/>
        </w:rPr>
        <w:t>13</w:t>
      </w:r>
      <w:r w:rsidRPr="00BC6B14">
        <w:rPr>
          <w:rFonts w:ascii="Arial" w:hAnsi="Arial" w:cs="Arial"/>
          <w:sz w:val="20"/>
          <w:szCs w:val="20"/>
        </w:rPr>
        <w:t>C NMR (125 MHz, DMSO): δ 123.49, 120.93, 118.37, 115.81, 41.54, 11.15. Water content: 0.142%.</w:t>
      </w:r>
    </w:p>
    <w:p w14:paraId="1AD6257B" w14:textId="11532DBB" w:rsidR="00BC6B14" w:rsidRPr="00BC6B14" w:rsidRDefault="00BC6B14" w:rsidP="00BC6B14">
      <w:pPr>
        <w:spacing w:line="360" w:lineRule="auto"/>
        <w:jc w:val="both"/>
        <w:rPr>
          <w:rFonts w:ascii="Arial" w:hAnsi="Arial" w:cs="Arial"/>
          <w:sz w:val="20"/>
          <w:szCs w:val="20"/>
        </w:rPr>
      </w:pPr>
      <w:r w:rsidRPr="00A655FA">
        <w:rPr>
          <w:rFonts w:ascii="Arial" w:hAnsi="Arial" w:cs="Arial"/>
          <w:b/>
          <w:bCs/>
          <w:sz w:val="20"/>
          <w:szCs w:val="20"/>
        </w:rPr>
        <w:t>[TEA][Cl]:</w:t>
      </w:r>
      <w:r w:rsidRPr="00BC6B14">
        <w:rPr>
          <w:rFonts w:ascii="Arial" w:hAnsi="Arial" w:cs="Arial"/>
          <w:sz w:val="20"/>
          <w:szCs w:val="20"/>
        </w:rPr>
        <w:t xml:space="preserve"> </w:t>
      </w:r>
      <w:r w:rsidRPr="00ED4FD8">
        <w:rPr>
          <w:rFonts w:ascii="Arial" w:hAnsi="Arial" w:cs="Arial"/>
          <w:sz w:val="20"/>
          <w:szCs w:val="20"/>
          <w:vertAlign w:val="superscript"/>
        </w:rPr>
        <w:t>1</w:t>
      </w:r>
      <w:r w:rsidRPr="00BC6B14">
        <w:rPr>
          <w:rFonts w:ascii="Arial" w:hAnsi="Arial" w:cs="Arial"/>
          <w:sz w:val="20"/>
          <w:szCs w:val="20"/>
        </w:rPr>
        <w:t>H NMR (500 MHz, CDCl</w:t>
      </w:r>
      <w:r w:rsidRPr="00ED4FD8">
        <w:rPr>
          <w:rFonts w:ascii="Arial" w:hAnsi="Arial" w:cs="Arial"/>
          <w:sz w:val="20"/>
          <w:szCs w:val="20"/>
          <w:vertAlign w:val="subscript"/>
        </w:rPr>
        <w:t>3</w:t>
      </w:r>
      <w:r w:rsidRPr="00BC6B14">
        <w:rPr>
          <w:rFonts w:ascii="Arial" w:hAnsi="Arial" w:cs="Arial"/>
          <w:sz w:val="20"/>
          <w:szCs w:val="20"/>
        </w:rPr>
        <w:t>): δ 11.535 [s, 1H, RN</w:t>
      </w:r>
      <w:r w:rsidRPr="00ED4FD8">
        <w:rPr>
          <w:rFonts w:ascii="Arial" w:hAnsi="Arial" w:cs="Arial"/>
          <w:sz w:val="20"/>
          <w:szCs w:val="20"/>
          <w:vertAlign w:val="superscript"/>
        </w:rPr>
        <w:t>+</w:t>
      </w:r>
      <w:r w:rsidRPr="00BC6B14">
        <w:rPr>
          <w:rFonts w:ascii="Arial" w:hAnsi="Arial" w:cs="Arial"/>
          <w:sz w:val="20"/>
          <w:szCs w:val="20"/>
        </w:rPr>
        <w:t>H], 3.035 [q, 6H, N-CH</w:t>
      </w:r>
      <w:r w:rsidRPr="00ED4FD8">
        <w:rPr>
          <w:rFonts w:ascii="Arial" w:hAnsi="Arial" w:cs="Arial"/>
          <w:sz w:val="20"/>
          <w:szCs w:val="20"/>
          <w:vertAlign w:val="subscript"/>
        </w:rPr>
        <w:t>2</w:t>
      </w:r>
      <w:r w:rsidRPr="00BC6B14">
        <w:rPr>
          <w:rFonts w:ascii="Arial" w:hAnsi="Arial" w:cs="Arial"/>
          <w:sz w:val="20"/>
          <w:szCs w:val="20"/>
        </w:rPr>
        <w:t>], 2.710 [s, 1H, R-N</w:t>
      </w:r>
      <w:r w:rsidRPr="00ED4FD8">
        <w:rPr>
          <w:rFonts w:ascii="Arial" w:hAnsi="Arial" w:cs="Arial"/>
          <w:sz w:val="20"/>
          <w:szCs w:val="20"/>
          <w:vertAlign w:val="superscript"/>
        </w:rPr>
        <w:t>+</w:t>
      </w:r>
      <w:r w:rsidRPr="00BC6B14">
        <w:rPr>
          <w:rFonts w:ascii="Arial" w:hAnsi="Arial" w:cs="Arial"/>
          <w:sz w:val="20"/>
          <w:szCs w:val="20"/>
        </w:rPr>
        <w:t>H], 1.310 [t, 9H, CH</w:t>
      </w:r>
      <w:r w:rsidRPr="00ED4FD8">
        <w:rPr>
          <w:rFonts w:ascii="Arial" w:hAnsi="Arial" w:cs="Arial"/>
          <w:sz w:val="20"/>
          <w:szCs w:val="20"/>
          <w:vertAlign w:val="subscript"/>
        </w:rPr>
        <w:t>3</w:t>
      </w:r>
      <w:r w:rsidRPr="00BC6B14">
        <w:rPr>
          <w:rFonts w:ascii="Arial" w:hAnsi="Arial" w:cs="Arial"/>
          <w:sz w:val="20"/>
          <w:szCs w:val="20"/>
        </w:rPr>
        <w:t xml:space="preserve">]. </w:t>
      </w:r>
      <w:r w:rsidRPr="00A655FA">
        <w:rPr>
          <w:rFonts w:ascii="Arial" w:hAnsi="Arial" w:cs="Arial"/>
          <w:sz w:val="20"/>
          <w:szCs w:val="20"/>
          <w:vertAlign w:val="superscript"/>
        </w:rPr>
        <w:t>13</w:t>
      </w:r>
      <w:r w:rsidRPr="00BC6B14">
        <w:rPr>
          <w:rFonts w:ascii="Arial" w:hAnsi="Arial" w:cs="Arial"/>
          <w:sz w:val="20"/>
          <w:szCs w:val="20"/>
        </w:rPr>
        <w:t>C NMR (125 MHz, CDCl</w:t>
      </w:r>
      <w:r w:rsidRPr="00A655FA">
        <w:rPr>
          <w:rFonts w:ascii="Arial" w:hAnsi="Arial" w:cs="Arial"/>
          <w:sz w:val="20"/>
          <w:szCs w:val="20"/>
          <w:vertAlign w:val="subscript"/>
        </w:rPr>
        <w:t>3</w:t>
      </w:r>
      <w:r w:rsidRPr="00BC6B14">
        <w:rPr>
          <w:rFonts w:ascii="Arial" w:hAnsi="Arial" w:cs="Arial"/>
          <w:sz w:val="20"/>
          <w:szCs w:val="20"/>
        </w:rPr>
        <w:t>): δ 45.92, 8.63. Water content: 3.319%.</w:t>
      </w:r>
    </w:p>
    <w:p w14:paraId="2468A0F3" w14:textId="2BEE7458" w:rsidR="00BC6B14" w:rsidRPr="00BC6B14" w:rsidRDefault="00BC6B14" w:rsidP="00BC6B14">
      <w:pPr>
        <w:spacing w:line="360" w:lineRule="auto"/>
        <w:jc w:val="both"/>
        <w:rPr>
          <w:rFonts w:ascii="Arial" w:hAnsi="Arial" w:cs="Arial"/>
          <w:sz w:val="20"/>
          <w:szCs w:val="20"/>
        </w:rPr>
      </w:pPr>
      <w:r w:rsidRPr="00A655FA">
        <w:rPr>
          <w:rFonts w:ascii="Arial" w:hAnsi="Arial" w:cs="Arial"/>
          <w:b/>
          <w:bCs/>
          <w:sz w:val="20"/>
          <w:szCs w:val="20"/>
        </w:rPr>
        <w:t>[TEA][Tf</w:t>
      </w:r>
      <w:r w:rsidRPr="00A655FA">
        <w:rPr>
          <w:rFonts w:ascii="Arial" w:hAnsi="Arial" w:cs="Arial"/>
          <w:b/>
          <w:bCs/>
          <w:sz w:val="20"/>
          <w:szCs w:val="20"/>
          <w:vertAlign w:val="subscript"/>
        </w:rPr>
        <w:t>2</w:t>
      </w:r>
      <w:r w:rsidRPr="00A655FA">
        <w:rPr>
          <w:rFonts w:ascii="Arial" w:hAnsi="Arial" w:cs="Arial"/>
          <w:b/>
          <w:bCs/>
          <w:sz w:val="20"/>
          <w:szCs w:val="20"/>
        </w:rPr>
        <w:t>N]:</w:t>
      </w:r>
      <w:r w:rsidR="00A655FA">
        <w:rPr>
          <w:rFonts w:ascii="Arial" w:hAnsi="Arial" w:cs="Arial"/>
          <w:sz w:val="20"/>
          <w:szCs w:val="20"/>
        </w:rPr>
        <w:t xml:space="preserve"> </w:t>
      </w:r>
      <w:r w:rsidRPr="00A655FA">
        <w:rPr>
          <w:rFonts w:ascii="Arial" w:hAnsi="Arial" w:cs="Arial"/>
          <w:sz w:val="20"/>
          <w:szCs w:val="20"/>
          <w:vertAlign w:val="superscript"/>
        </w:rPr>
        <w:t>1</w:t>
      </w:r>
      <w:r w:rsidRPr="00BC6B14">
        <w:rPr>
          <w:rFonts w:ascii="Arial" w:hAnsi="Arial" w:cs="Arial"/>
          <w:sz w:val="20"/>
          <w:szCs w:val="20"/>
        </w:rPr>
        <w:t>H NMR (500 MHz, DMSO): δ 8.874 [s, 1H, RN</w:t>
      </w:r>
      <w:r w:rsidRPr="00A655FA">
        <w:rPr>
          <w:rFonts w:ascii="Arial" w:hAnsi="Arial" w:cs="Arial"/>
          <w:sz w:val="20"/>
          <w:szCs w:val="20"/>
          <w:vertAlign w:val="superscript"/>
        </w:rPr>
        <w:t>+</w:t>
      </w:r>
      <w:r w:rsidRPr="00BC6B14">
        <w:rPr>
          <w:rFonts w:ascii="Arial" w:hAnsi="Arial" w:cs="Arial"/>
          <w:sz w:val="20"/>
          <w:szCs w:val="20"/>
        </w:rPr>
        <w:t>H], 3.095 [q, 6H, N-CH</w:t>
      </w:r>
      <w:r w:rsidRPr="00A655FA">
        <w:rPr>
          <w:rFonts w:ascii="Arial" w:hAnsi="Arial" w:cs="Arial"/>
          <w:sz w:val="20"/>
          <w:szCs w:val="20"/>
          <w:vertAlign w:val="subscript"/>
        </w:rPr>
        <w:t>2</w:t>
      </w:r>
      <w:r w:rsidRPr="00BC6B14">
        <w:rPr>
          <w:rFonts w:ascii="Arial" w:hAnsi="Arial" w:cs="Arial"/>
          <w:sz w:val="20"/>
          <w:szCs w:val="20"/>
        </w:rPr>
        <w:t>], 1.179 [t, 9H, CH</w:t>
      </w:r>
      <w:r w:rsidRPr="00A655FA">
        <w:rPr>
          <w:rFonts w:ascii="Arial" w:hAnsi="Arial" w:cs="Arial"/>
          <w:sz w:val="20"/>
          <w:szCs w:val="20"/>
          <w:vertAlign w:val="subscript"/>
        </w:rPr>
        <w:t>3</w:t>
      </w:r>
      <w:r w:rsidRPr="00BC6B14">
        <w:rPr>
          <w:rFonts w:ascii="Arial" w:hAnsi="Arial" w:cs="Arial"/>
          <w:sz w:val="20"/>
          <w:szCs w:val="20"/>
        </w:rPr>
        <w:t xml:space="preserve">]. </w:t>
      </w:r>
      <w:r w:rsidRPr="00A655FA">
        <w:rPr>
          <w:rFonts w:ascii="Arial" w:hAnsi="Arial" w:cs="Arial"/>
          <w:sz w:val="20"/>
          <w:szCs w:val="20"/>
          <w:vertAlign w:val="superscript"/>
        </w:rPr>
        <w:t>13</w:t>
      </w:r>
      <w:r w:rsidRPr="00BC6B14">
        <w:rPr>
          <w:rFonts w:ascii="Arial" w:hAnsi="Arial" w:cs="Arial"/>
          <w:sz w:val="20"/>
          <w:szCs w:val="20"/>
        </w:rPr>
        <w:t>C NMR (125 MHz, DMSO): δ 123.50, 120.94, 118.38, 115.82, 45.98, 8.74. Water content: 0.476%.</w:t>
      </w:r>
    </w:p>
    <w:p w14:paraId="5CF345C5" w14:textId="77777777" w:rsidR="00BC6B14" w:rsidRPr="00BC6B14" w:rsidRDefault="00BC6B14" w:rsidP="00BC6B14">
      <w:pPr>
        <w:spacing w:line="360" w:lineRule="auto"/>
        <w:jc w:val="both"/>
        <w:rPr>
          <w:rFonts w:ascii="Arial" w:hAnsi="Arial" w:cs="Arial"/>
          <w:sz w:val="20"/>
          <w:szCs w:val="20"/>
        </w:rPr>
      </w:pPr>
      <w:r w:rsidRPr="00DF4F33">
        <w:rPr>
          <w:rFonts w:ascii="Arial" w:hAnsi="Arial" w:cs="Arial"/>
          <w:b/>
          <w:bCs/>
          <w:sz w:val="20"/>
          <w:szCs w:val="20"/>
        </w:rPr>
        <w:t>[BEHA][Cl]:</w:t>
      </w:r>
      <w:r w:rsidRPr="00BC6B14">
        <w:rPr>
          <w:rFonts w:ascii="Arial" w:hAnsi="Arial" w:cs="Arial"/>
          <w:sz w:val="20"/>
          <w:szCs w:val="20"/>
        </w:rPr>
        <w:t xml:space="preserve"> </w:t>
      </w:r>
      <w:r w:rsidRPr="00DF4F33">
        <w:rPr>
          <w:rFonts w:ascii="Arial" w:hAnsi="Arial" w:cs="Arial"/>
          <w:sz w:val="20"/>
          <w:szCs w:val="20"/>
          <w:vertAlign w:val="superscript"/>
        </w:rPr>
        <w:t>1</w:t>
      </w:r>
      <w:r w:rsidRPr="00BC6B14">
        <w:rPr>
          <w:rFonts w:ascii="Arial" w:hAnsi="Arial" w:cs="Arial"/>
          <w:sz w:val="20"/>
          <w:szCs w:val="20"/>
        </w:rPr>
        <w:t>H NMR (500 MHz, CDCl</w:t>
      </w:r>
      <w:r w:rsidRPr="00DF4F33">
        <w:rPr>
          <w:rFonts w:ascii="Arial" w:hAnsi="Arial" w:cs="Arial"/>
          <w:sz w:val="20"/>
          <w:szCs w:val="20"/>
          <w:vertAlign w:val="subscript"/>
        </w:rPr>
        <w:t>3</w:t>
      </w:r>
      <w:r w:rsidRPr="00BC6B14">
        <w:rPr>
          <w:rFonts w:ascii="Arial" w:hAnsi="Arial" w:cs="Arial"/>
          <w:sz w:val="20"/>
          <w:szCs w:val="20"/>
        </w:rPr>
        <w:t>): δ 2.826 [d, 4H, N-CH</w:t>
      </w:r>
      <w:r w:rsidRPr="00DF4F33">
        <w:rPr>
          <w:rFonts w:ascii="Arial" w:hAnsi="Arial" w:cs="Arial"/>
          <w:sz w:val="20"/>
          <w:szCs w:val="20"/>
          <w:vertAlign w:val="subscript"/>
        </w:rPr>
        <w:t>2</w:t>
      </w:r>
      <w:r w:rsidRPr="00BC6B14">
        <w:rPr>
          <w:rFonts w:ascii="Arial" w:hAnsi="Arial" w:cs="Arial"/>
          <w:sz w:val="20"/>
          <w:szCs w:val="20"/>
        </w:rPr>
        <w:t>], 1.874 [m, 2H, -CH], 1.413 [m, 16H, aliphatic CH</w:t>
      </w:r>
      <w:r w:rsidRPr="00DF4F33">
        <w:rPr>
          <w:rFonts w:ascii="Arial" w:hAnsi="Arial" w:cs="Arial"/>
          <w:sz w:val="20"/>
          <w:szCs w:val="20"/>
          <w:vertAlign w:val="subscript"/>
        </w:rPr>
        <w:t>2</w:t>
      </w:r>
      <w:r w:rsidRPr="00BC6B14">
        <w:rPr>
          <w:rFonts w:ascii="Arial" w:hAnsi="Arial" w:cs="Arial"/>
          <w:sz w:val="20"/>
          <w:szCs w:val="20"/>
        </w:rPr>
        <w:t>], 0.912 [t, 12H, -CH</w:t>
      </w:r>
      <w:r w:rsidRPr="00DF4F33">
        <w:rPr>
          <w:rFonts w:ascii="Arial" w:hAnsi="Arial" w:cs="Arial"/>
          <w:sz w:val="20"/>
          <w:szCs w:val="20"/>
          <w:vertAlign w:val="subscript"/>
        </w:rPr>
        <w:t>3</w:t>
      </w:r>
      <w:r w:rsidRPr="00BC6B14">
        <w:rPr>
          <w:rFonts w:ascii="Arial" w:hAnsi="Arial" w:cs="Arial"/>
          <w:sz w:val="20"/>
          <w:szCs w:val="20"/>
        </w:rPr>
        <w:t>]. 13C NMR (125 MHz, CDCl</w:t>
      </w:r>
      <w:r w:rsidRPr="00DF4F33">
        <w:rPr>
          <w:rFonts w:ascii="Arial" w:hAnsi="Arial" w:cs="Arial"/>
          <w:sz w:val="20"/>
          <w:szCs w:val="20"/>
          <w:vertAlign w:val="subscript"/>
        </w:rPr>
        <w:t>3</w:t>
      </w:r>
      <w:r w:rsidRPr="00BC6B14">
        <w:rPr>
          <w:rFonts w:ascii="Arial" w:hAnsi="Arial" w:cs="Arial"/>
          <w:sz w:val="20"/>
          <w:szCs w:val="20"/>
        </w:rPr>
        <w:t>): δ 50.59, 35.57, 30.43, 28.27, 23.71, 22.85, 14.02, 10.17. Water content: 0.735%.</w:t>
      </w:r>
    </w:p>
    <w:p w14:paraId="0E2437E9" w14:textId="7BC878F2" w:rsidR="00BC6B14" w:rsidRDefault="00BC6B14" w:rsidP="00BC6B14">
      <w:pPr>
        <w:spacing w:line="360" w:lineRule="auto"/>
        <w:jc w:val="both"/>
        <w:rPr>
          <w:rFonts w:ascii="Arial" w:hAnsi="Arial" w:cs="Arial"/>
          <w:sz w:val="20"/>
          <w:szCs w:val="20"/>
        </w:rPr>
      </w:pPr>
      <w:r w:rsidRPr="00DF4F33">
        <w:rPr>
          <w:rFonts w:ascii="Arial" w:hAnsi="Arial" w:cs="Arial"/>
          <w:b/>
          <w:bCs/>
          <w:sz w:val="20"/>
          <w:szCs w:val="20"/>
        </w:rPr>
        <w:lastRenderedPageBreak/>
        <w:t>[BEHA][Tf</w:t>
      </w:r>
      <w:r w:rsidRPr="00DF4F33">
        <w:rPr>
          <w:rFonts w:ascii="Arial" w:hAnsi="Arial" w:cs="Arial"/>
          <w:b/>
          <w:bCs/>
          <w:sz w:val="20"/>
          <w:szCs w:val="20"/>
          <w:vertAlign w:val="subscript"/>
        </w:rPr>
        <w:t>2</w:t>
      </w:r>
      <w:r w:rsidRPr="00DF4F33">
        <w:rPr>
          <w:rFonts w:ascii="Arial" w:hAnsi="Arial" w:cs="Arial"/>
          <w:b/>
          <w:bCs/>
          <w:sz w:val="20"/>
          <w:szCs w:val="20"/>
        </w:rPr>
        <w:t>N]:</w:t>
      </w:r>
      <w:r w:rsidRPr="00BC6B14">
        <w:rPr>
          <w:rFonts w:ascii="Arial" w:hAnsi="Arial" w:cs="Arial"/>
          <w:sz w:val="20"/>
          <w:szCs w:val="20"/>
        </w:rPr>
        <w:t xml:space="preserve"> </w:t>
      </w:r>
      <w:r w:rsidRPr="00DF4F33">
        <w:rPr>
          <w:rFonts w:ascii="Arial" w:hAnsi="Arial" w:cs="Arial"/>
          <w:sz w:val="20"/>
          <w:szCs w:val="20"/>
          <w:vertAlign w:val="superscript"/>
        </w:rPr>
        <w:t>1</w:t>
      </w:r>
      <w:r w:rsidRPr="00BC6B14">
        <w:rPr>
          <w:rFonts w:ascii="Arial" w:hAnsi="Arial" w:cs="Arial"/>
          <w:sz w:val="20"/>
          <w:szCs w:val="20"/>
        </w:rPr>
        <w:t>H NMR (500 MHz, DMSO): δ 2.796 [d, 4H, α-CH</w:t>
      </w:r>
      <w:r w:rsidRPr="00DF4F33">
        <w:rPr>
          <w:rFonts w:ascii="Arial" w:hAnsi="Arial" w:cs="Arial"/>
          <w:sz w:val="20"/>
          <w:szCs w:val="20"/>
          <w:vertAlign w:val="subscript"/>
        </w:rPr>
        <w:t>2</w:t>
      </w:r>
      <w:r w:rsidRPr="00BC6B14">
        <w:rPr>
          <w:rFonts w:ascii="Arial" w:hAnsi="Arial" w:cs="Arial"/>
          <w:sz w:val="20"/>
          <w:szCs w:val="20"/>
        </w:rPr>
        <w:t>], 1.639 [m, 2H, N-CH</w:t>
      </w:r>
      <w:r w:rsidRPr="00DF4F33">
        <w:rPr>
          <w:rFonts w:ascii="Arial" w:hAnsi="Arial" w:cs="Arial"/>
          <w:sz w:val="20"/>
          <w:szCs w:val="20"/>
          <w:vertAlign w:val="subscript"/>
        </w:rPr>
        <w:t>2</w:t>
      </w:r>
      <w:r w:rsidRPr="00BC6B14">
        <w:rPr>
          <w:rFonts w:ascii="Arial" w:hAnsi="Arial" w:cs="Arial"/>
          <w:sz w:val="20"/>
          <w:szCs w:val="20"/>
        </w:rPr>
        <w:t>-CH], 1.286 [m, 16H, aliphatic CH</w:t>
      </w:r>
      <w:r w:rsidRPr="00DF4F33">
        <w:rPr>
          <w:rFonts w:ascii="Arial" w:hAnsi="Arial" w:cs="Arial"/>
          <w:sz w:val="20"/>
          <w:szCs w:val="20"/>
          <w:vertAlign w:val="subscript"/>
        </w:rPr>
        <w:t>2</w:t>
      </w:r>
      <w:r w:rsidRPr="00BC6B14">
        <w:rPr>
          <w:rFonts w:ascii="Arial" w:hAnsi="Arial" w:cs="Arial"/>
          <w:sz w:val="20"/>
          <w:szCs w:val="20"/>
        </w:rPr>
        <w:t>], 0.844 [m, 12H, CH</w:t>
      </w:r>
      <w:r w:rsidRPr="00DF4F33">
        <w:rPr>
          <w:rFonts w:ascii="Arial" w:hAnsi="Arial" w:cs="Arial"/>
          <w:sz w:val="20"/>
          <w:szCs w:val="20"/>
          <w:vertAlign w:val="subscript"/>
        </w:rPr>
        <w:t>3</w:t>
      </w:r>
      <w:r w:rsidRPr="00BC6B14">
        <w:rPr>
          <w:rFonts w:ascii="Arial" w:hAnsi="Arial" w:cs="Arial"/>
          <w:sz w:val="20"/>
          <w:szCs w:val="20"/>
        </w:rPr>
        <w:t xml:space="preserve">]. </w:t>
      </w:r>
      <w:r w:rsidRPr="00DF4F33">
        <w:rPr>
          <w:rFonts w:ascii="Arial" w:hAnsi="Arial" w:cs="Arial"/>
          <w:sz w:val="20"/>
          <w:szCs w:val="20"/>
          <w:vertAlign w:val="superscript"/>
        </w:rPr>
        <w:t>13</w:t>
      </w:r>
      <w:r w:rsidRPr="00BC6B14">
        <w:rPr>
          <w:rFonts w:ascii="Arial" w:hAnsi="Arial" w:cs="Arial"/>
          <w:sz w:val="20"/>
          <w:szCs w:val="20"/>
        </w:rPr>
        <w:t>C NMR (125 MHz, DMSO): δ 123.81, 121.25, 118.69, 116.13, 51.86, 36.28, 30.21, 28.31, 23.45, 22.85, 14.35, 10.47. Water content: 0.376%.</w:t>
      </w:r>
    </w:p>
    <w:p w14:paraId="1B06E4C5" w14:textId="0209570E" w:rsidR="00B1481A" w:rsidRPr="00B1481A" w:rsidRDefault="004501B5" w:rsidP="00B1481A">
      <w:pPr>
        <w:spacing w:line="360" w:lineRule="auto"/>
        <w:jc w:val="both"/>
        <w:rPr>
          <w:rFonts w:ascii="Arial" w:hAnsi="Arial" w:cs="Arial"/>
          <w:b/>
          <w:bCs/>
          <w:sz w:val="20"/>
          <w:szCs w:val="20"/>
        </w:rPr>
      </w:pPr>
      <w:r>
        <w:rPr>
          <w:rFonts w:ascii="Arial" w:hAnsi="Arial" w:cs="Arial"/>
          <w:b/>
          <w:bCs/>
          <w:sz w:val="20"/>
          <w:szCs w:val="20"/>
        </w:rPr>
        <w:t xml:space="preserve">3.2 </w:t>
      </w:r>
      <w:r w:rsidR="00536499" w:rsidRPr="00536499">
        <w:rPr>
          <w:rFonts w:ascii="Arial" w:hAnsi="Arial" w:cs="Arial"/>
          <w:b/>
          <w:bCs/>
          <w:sz w:val="20"/>
          <w:szCs w:val="20"/>
        </w:rPr>
        <w:t>Thermal Properties</w:t>
      </w:r>
      <w:r w:rsidR="006C2F0A">
        <w:rPr>
          <w:rFonts w:ascii="Arial" w:hAnsi="Arial" w:cs="Arial"/>
          <w:b/>
          <w:bCs/>
          <w:sz w:val="20"/>
          <w:szCs w:val="20"/>
        </w:rPr>
        <w:t xml:space="preserve"> Analysis</w:t>
      </w:r>
    </w:p>
    <w:p w14:paraId="7780CD2B" w14:textId="5F8156E7" w:rsidR="00536499" w:rsidRDefault="00ED2611" w:rsidP="003B7629">
      <w:pPr>
        <w:spacing w:line="360" w:lineRule="auto"/>
        <w:jc w:val="both"/>
        <w:rPr>
          <w:rFonts w:ascii="Arial" w:hAnsi="Arial" w:cs="Arial"/>
          <w:sz w:val="20"/>
          <w:szCs w:val="20"/>
        </w:rPr>
      </w:pPr>
      <w:r w:rsidRPr="00ED2611">
        <w:rPr>
          <w:rFonts w:ascii="Arial" w:hAnsi="Arial" w:cs="Arial"/>
          <w:sz w:val="20"/>
          <w:szCs w:val="20"/>
        </w:rPr>
        <w:t>Thermogravimetric analysis showed that all chloride salts decomposed at similar temperatures between 205 and 238°C, indicating comparable stability governed mainly by the chloride anion. The [Tf</w:t>
      </w:r>
      <w:r>
        <w:rPr>
          <w:rFonts w:ascii="Arial" w:hAnsi="Arial" w:cs="Arial"/>
          <w:sz w:val="20"/>
          <w:szCs w:val="20"/>
          <w:vertAlign w:val="subscript"/>
        </w:rPr>
        <w:t>2</w:t>
      </w:r>
      <w:r w:rsidRPr="00ED2611">
        <w:rPr>
          <w:rFonts w:ascii="Arial" w:hAnsi="Arial" w:cs="Arial"/>
          <w:sz w:val="20"/>
          <w:szCs w:val="20"/>
        </w:rPr>
        <w:t>N]</w:t>
      </w:r>
      <w:r w:rsidRPr="00ED2611">
        <w:rPr>
          <w:rFonts w:ascii="Cambria Math" w:hAnsi="Cambria Math" w:cs="Cambria Math"/>
          <w:sz w:val="20"/>
          <w:szCs w:val="20"/>
        </w:rPr>
        <w:t>⁻</w:t>
      </w:r>
      <w:r w:rsidRPr="00ED2611">
        <w:rPr>
          <w:rFonts w:ascii="Arial" w:hAnsi="Arial" w:cs="Arial"/>
          <w:sz w:val="20"/>
          <w:szCs w:val="20"/>
        </w:rPr>
        <w:t>-based salts were much more stable, decomposing between 341 and 438°C due to the bulky, charge-delocalized anion that suppresses thermal degradation. Among them, [TEA][Tf</w:t>
      </w:r>
      <w:r>
        <w:rPr>
          <w:rFonts w:ascii="Arial" w:hAnsi="Arial" w:cs="Arial"/>
          <w:sz w:val="20"/>
          <w:szCs w:val="20"/>
          <w:vertAlign w:val="subscript"/>
        </w:rPr>
        <w:t>2</w:t>
      </w:r>
      <w:r w:rsidRPr="00ED2611">
        <w:rPr>
          <w:rFonts w:ascii="Arial" w:hAnsi="Arial" w:cs="Arial"/>
          <w:sz w:val="20"/>
          <w:szCs w:val="20"/>
        </w:rPr>
        <w:t>N] exhibited the highest stability, while [BEHA][Tf</w:t>
      </w:r>
      <w:r>
        <w:rPr>
          <w:rFonts w:ascii="Arial" w:hAnsi="Arial" w:cs="Arial"/>
          <w:sz w:val="20"/>
          <w:szCs w:val="20"/>
          <w:vertAlign w:val="subscript"/>
        </w:rPr>
        <w:t>2</w:t>
      </w:r>
      <w:r w:rsidRPr="00ED2611">
        <w:rPr>
          <w:rFonts w:ascii="Arial" w:hAnsi="Arial" w:cs="Arial"/>
          <w:sz w:val="20"/>
          <w:szCs w:val="20"/>
        </w:rPr>
        <w:t xml:space="preserve">N] was slightly less stable because its </w:t>
      </w:r>
      <w:r w:rsidR="001F617B" w:rsidRPr="00ED2611">
        <w:rPr>
          <w:rFonts w:ascii="Arial" w:hAnsi="Arial" w:cs="Arial"/>
          <w:sz w:val="20"/>
          <w:szCs w:val="20"/>
        </w:rPr>
        <w:t>long-branched</w:t>
      </w:r>
      <w:r w:rsidRPr="00ED2611">
        <w:rPr>
          <w:rFonts w:ascii="Arial" w:hAnsi="Arial" w:cs="Arial"/>
          <w:sz w:val="20"/>
          <w:szCs w:val="20"/>
        </w:rPr>
        <w:t xml:space="preserve"> chains increased free volume and weakened ionic interactions. This trend agrees with earlier studies showing that longer alkyl </w:t>
      </w:r>
    </w:p>
    <w:p w14:paraId="0EB2D815" w14:textId="66835A81" w:rsidR="00B1481A" w:rsidRPr="00B1481A" w:rsidRDefault="004501B5" w:rsidP="00B1481A">
      <w:pPr>
        <w:spacing w:line="360" w:lineRule="auto"/>
        <w:jc w:val="both"/>
        <w:rPr>
          <w:rFonts w:ascii="Arial" w:hAnsi="Arial" w:cs="Arial"/>
          <w:b/>
          <w:bCs/>
          <w:sz w:val="20"/>
          <w:szCs w:val="20"/>
        </w:rPr>
      </w:pPr>
      <w:r>
        <w:rPr>
          <w:rFonts w:ascii="Arial" w:hAnsi="Arial" w:cs="Arial"/>
          <w:b/>
          <w:bCs/>
          <w:sz w:val="20"/>
          <w:szCs w:val="20"/>
        </w:rPr>
        <w:t xml:space="preserve">3.3 </w:t>
      </w:r>
      <w:r w:rsidR="00B1481A" w:rsidRPr="00B1481A">
        <w:rPr>
          <w:rFonts w:ascii="Arial" w:hAnsi="Arial" w:cs="Arial"/>
          <w:b/>
          <w:bCs/>
          <w:sz w:val="20"/>
          <w:szCs w:val="20"/>
        </w:rPr>
        <w:t>Density</w:t>
      </w:r>
      <w:r w:rsidR="004E5455">
        <w:rPr>
          <w:rFonts w:ascii="Arial" w:hAnsi="Arial" w:cs="Arial"/>
          <w:b/>
          <w:bCs/>
          <w:sz w:val="20"/>
          <w:szCs w:val="20"/>
        </w:rPr>
        <w:t xml:space="preserve"> and Refractive Index </w:t>
      </w:r>
      <w:r w:rsidR="00243ADF">
        <w:rPr>
          <w:rFonts w:ascii="Arial" w:hAnsi="Arial" w:cs="Arial"/>
          <w:b/>
          <w:bCs/>
          <w:sz w:val="20"/>
          <w:szCs w:val="20"/>
        </w:rPr>
        <w:t>Measurements</w:t>
      </w:r>
    </w:p>
    <w:p w14:paraId="27F486A3" w14:textId="201AE474" w:rsidR="001D000D" w:rsidRPr="001D000D" w:rsidRDefault="001D000D" w:rsidP="001D000D">
      <w:pPr>
        <w:spacing w:line="360" w:lineRule="auto"/>
        <w:jc w:val="both"/>
        <w:rPr>
          <w:rFonts w:ascii="Arial" w:hAnsi="Arial" w:cs="Arial"/>
          <w:sz w:val="20"/>
          <w:szCs w:val="20"/>
        </w:rPr>
      </w:pPr>
      <w:r w:rsidRPr="001D000D">
        <w:rPr>
          <w:rFonts w:ascii="Arial" w:hAnsi="Arial" w:cs="Arial"/>
          <w:sz w:val="20"/>
          <w:szCs w:val="20"/>
        </w:rPr>
        <w:t>The density of ionic liquids is strongly temperature dependent, typically decreasing with increasing temperature due to thermal expansion and reduced intermolecular cohesion. The densities of [TEA][Tf</w:t>
      </w:r>
      <w:r>
        <w:rPr>
          <w:rFonts w:ascii="Arial" w:hAnsi="Arial" w:cs="Arial"/>
          <w:sz w:val="20"/>
          <w:szCs w:val="20"/>
          <w:vertAlign w:val="subscript"/>
        </w:rPr>
        <w:t>2</w:t>
      </w:r>
      <w:r>
        <w:rPr>
          <w:rFonts w:ascii="Arial" w:hAnsi="Arial" w:cs="Arial"/>
          <w:sz w:val="20"/>
          <w:szCs w:val="20"/>
        </w:rPr>
        <w:t>N</w:t>
      </w:r>
      <w:r w:rsidRPr="001D000D">
        <w:rPr>
          <w:rFonts w:ascii="Arial" w:hAnsi="Arial" w:cs="Arial"/>
          <w:sz w:val="20"/>
          <w:szCs w:val="20"/>
        </w:rPr>
        <w:t>] and [BEHA][Tf</w:t>
      </w:r>
      <w:r>
        <w:rPr>
          <w:rFonts w:ascii="Arial" w:hAnsi="Arial" w:cs="Arial"/>
          <w:sz w:val="20"/>
          <w:szCs w:val="20"/>
          <w:vertAlign w:val="subscript"/>
        </w:rPr>
        <w:t>2</w:t>
      </w:r>
      <w:r>
        <w:rPr>
          <w:rFonts w:ascii="Arial" w:hAnsi="Arial" w:cs="Arial"/>
          <w:sz w:val="20"/>
          <w:szCs w:val="20"/>
        </w:rPr>
        <w:t>N</w:t>
      </w:r>
      <w:r w:rsidRPr="001D000D">
        <w:rPr>
          <w:rFonts w:ascii="Arial" w:hAnsi="Arial" w:cs="Arial"/>
          <w:sz w:val="20"/>
          <w:szCs w:val="20"/>
        </w:rPr>
        <w:t>] were measured between 293.15 and 333.15K, while [DEA][Tf</w:t>
      </w:r>
      <w:r>
        <w:rPr>
          <w:rFonts w:ascii="Arial" w:hAnsi="Arial" w:cs="Arial"/>
          <w:sz w:val="20"/>
          <w:szCs w:val="20"/>
          <w:vertAlign w:val="subscript"/>
        </w:rPr>
        <w:t>2</w:t>
      </w:r>
      <w:r>
        <w:rPr>
          <w:rFonts w:ascii="Arial" w:hAnsi="Arial" w:cs="Arial"/>
          <w:sz w:val="20"/>
          <w:szCs w:val="20"/>
        </w:rPr>
        <w:t>N</w:t>
      </w:r>
      <w:r w:rsidRPr="001D000D">
        <w:rPr>
          <w:rFonts w:ascii="Arial" w:hAnsi="Arial" w:cs="Arial"/>
          <w:sz w:val="20"/>
          <w:szCs w:val="20"/>
        </w:rPr>
        <w:t>] remained solid at room temperature. At 298.15K, the densities were 1.4</w:t>
      </w:r>
      <w:r>
        <w:rPr>
          <w:rFonts w:ascii="Arial" w:hAnsi="Arial" w:cs="Arial"/>
          <w:sz w:val="20"/>
          <w:szCs w:val="20"/>
        </w:rPr>
        <w:t>4</w:t>
      </w:r>
      <w:r w:rsidRPr="001D000D">
        <w:rPr>
          <w:rFonts w:ascii="Arial" w:hAnsi="Arial" w:cs="Arial"/>
          <w:sz w:val="20"/>
          <w:szCs w:val="20"/>
        </w:rPr>
        <w:t>, 1.20, and 1.65 g cm</w:t>
      </w:r>
      <w:r>
        <w:rPr>
          <w:rFonts w:ascii="Arial" w:hAnsi="Arial" w:cs="Arial"/>
          <w:sz w:val="20"/>
          <w:szCs w:val="20"/>
          <w:vertAlign w:val="superscript"/>
        </w:rPr>
        <w:t>-3</w:t>
      </w:r>
      <w:r w:rsidRPr="001D000D">
        <w:rPr>
          <w:rFonts w:ascii="Arial" w:hAnsi="Arial" w:cs="Arial"/>
          <w:sz w:val="20"/>
          <w:szCs w:val="20"/>
        </w:rPr>
        <w:t xml:space="preserve"> for [TEA][Tf</w:t>
      </w:r>
      <w:r>
        <w:rPr>
          <w:rFonts w:ascii="Arial" w:hAnsi="Arial" w:cs="Arial"/>
          <w:sz w:val="20"/>
          <w:szCs w:val="20"/>
          <w:vertAlign w:val="subscript"/>
        </w:rPr>
        <w:t>2</w:t>
      </w:r>
      <w:r>
        <w:rPr>
          <w:rFonts w:ascii="Arial" w:hAnsi="Arial" w:cs="Arial"/>
          <w:sz w:val="20"/>
          <w:szCs w:val="20"/>
        </w:rPr>
        <w:t>N</w:t>
      </w:r>
      <w:r w:rsidRPr="001D000D">
        <w:rPr>
          <w:rFonts w:ascii="Arial" w:hAnsi="Arial" w:cs="Arial"/>
          <w:sz w:val="20"/>
          <w:szCs w:val="20"/>
        </w:rPr>
        <w:t>], [BEHA][Tf</w:t>
      </w:r>
      <w:r>
        <w:rPr>
          <w:rFonts w:ascii="Arial" w:hAnsi="Arial" w:cs="Arial"/>
          <w:sz w:val="20"/>
          <w:szCs w:val="20"/>
          <w:vertAlign w:val="subscript"/>
        </w:rPr>
        <w:t>2</w:t>
      </w:r>
      <w:r>
        <w:rPr>
          <w:rFonts w:ascii="Arial" w:hAnsi="Arial" w:cs="Arial"/>
          <w:sz w:val="20"/>
          <w:szCs w:val="20"/>
        </w:rPr>
        <w:t>N</w:t>
      </w:r>
      <w:r w:rsidRPr="001D000D">
        <w:rPr>
          <w:rFonts w:ascii="Arial" w:hAnsi="Arial" w:cs="Arial"/>
          <w:sz w:val="20"/>
          <w:szCs w:val="20"/>
        </w:rPr>
        <w:t>], and [DEA][Tf</w:t>
      </w:r>
      <w:r>
        <w:rPr>
          <w:rFonts w:ascii="Arial" w:hAnsi="Arial" w:cs="Arial"/>
          <w:sz w:val="20"/>
          <w:szCs w:val="20"/>
          <w:vertAlign w:val="subscript"/>
        </w:rPr>
        <w:t>2</w:t>
      </w:r>
      <w:r>
        <w:rPr>
          <w:rFonts w:ascii="Arial" w:hAnsi="Arial" w:cs="Arial"/>
          <w:sz w:val="20"/>
          <w:szCs w:val="20"/>
        </w:rPr>
        <w:t>N</w:t>
      </w:r>
      <w:r w:rsidRPr="001D000D">
        <w:rPr>
          <w:rFonts w:ascii="Arial" w:hAnsi="Arial" w:cs="Arial"/>
          <w:sz w:val="20"/>
          <w:szCs w:val="20"/>
        </w:rPr>
        <w:t>], respectively, following the order [DEA][</w:t>
      </w:r>
      <w:r w:rsidR="00653750" w:rsidRPr="001D000D">
        <w:rPr>
          <w:rFonts w:ascii="Arial" w:hAnsi="Arial" w:cs="Arial"/>
          <w:sz w:val="20"/>
          <w:szCs w:val="20"/>
        </w:rPr>
        <w:t>Tf</w:t>
      </w:r>
      <w:r w:rsidR="00653750">
        <w:rPr>
          <w:rFonts w:ascii="Arial" w:hAnsi="Arial" w:cs="Arial"/>
          <w:sz w:val="20"/>
          <w:szCs w:val="20"/>
          <w:vertAlign w:val="subscript"/>
        </w:rPr>
        <w:t>2</w:t>
      </w:r>
      <w:r w:rsidR="00653750">
        <w:rPr>
          <w:rFonts w:ascii="Arial" w:hAnsi="Arial" w:cs="Arial"/>
          <w:sz w:val="20"/>
          <w:szCs w:val="20"/>
        </w:rPr>
        <w:t>N</w:t>
      </w:r>
      <w:r w:rsidRPr="001D000D">
        <w:rPr>
          <w:rFonts w:ascii="Arial" w:hAnsi="Arial" w:cs="Arial"/>
          <w:sz w:val="20"/>
          <w:szCs w:val="20"/>
        </w:rPr>
        <w:t>] &gt; [TEA][</w:t>
      </w:r>
      <w:r w:rsidR="00653750" w:rsidRPr="001D000D">
        <w:rPr>
          <w:rFonts w:ascii="Arial" w:hAnsi="Arial" w:cs="Arial"/>
          <w:sz w:val="20"/>
          <w:szCs w:val="20"/>
        </w:rPr>
        <w:t>Tf</w:t>
      </w:r>
      <w:r w:rsidR="00653750">
        <w:rPr>
          <w:rFonts w:ascii="Arial" w:hAnsi="Arial" w:cs="Arial"/>
          <w:sz w:val="20"/>
          <w:szCs w:val="20"/>
          <w:vertAlign w:val="subscript"/>
        </w:rPr>
        <w:t>2</w:t>
      </w:r>
      <w:r w:rsidR="00653750">
        <w:rPr>
          <w:rFonts w:ascii="Arial" w:hAnsi="Arial" w:cs="Arial"/>
          <w:sz w:val="20"/>
          <w:szCs w:val="20"/>
        </w:rPr>
        <w:t>N</w:t>
      </w:r>
      <w:r w:rsidRPr="001D000D">
        <w:rPr>
          <w:rFonts w:ascii="Arial" w:hAnsi="Arial" w:cs="Arial"/>
          <w:sz w:val="20"/>
          <w:szCs w:val="20"/>
        </w:rPr>
        <w:t>] &gt; [BEHA][</w:t>
      </w:r>
      <w:r w:rsidR="00653750" w:rsidRPr="001D000D">
        <w:rPr>
          <w:rFonts w:ascii="Arial" w:hAnsi="Arial" w:cs="Arial"/>
          <w:sz w:val="20"/>
          <w:szCs w:val="20"/>
        </w:rPr>
        <w:t>Tf</w:t>
      </w:r>
      <w:r w:rsidR="00653750">
        <w:rPr>
          <w:rFonts w:ascii="Arial" w:hAnsi="Arial" w:cs="Arial"/>
          <w:sz w:val="20"/>
          <w:szCs w:val="20"/>
          <w:vertAlign w:val="subscript"/>
        </w:rPr>
        <w:t>2</w:t>
      </w:r>
      <w:r w:rsidR="00653750">
        <w:rPr>
          <w:rFonts w:ascii="Arial" w:hAnsi="Arial" w:cs="Arial"/>
          <w:sz w:val="20"/>
          <w:szCs w:val="20"/>
        </w:rPr>
        <w:t>N</w:t>
      </w:r>
      <w:r w:rsidRPr="001D000D">
        <w:rPr>
          <w:rFonts w:ascii="Arial" w:hAnsi="Arial" w:cs="Arial"/>
          <w:sz w:val="20"/>
          <w:szCs w:val="20"/>
        </w:rPr>
        <w:t>]. This trend reflects the influence of cation size and structure on packing efficiency, where the compact [DEA]</w:t>
      </w:r>
      <w:r w:rsidR="00653750">
        <w:rPr>
          <w:rFonts w:ascii="Arial" w:hAnsi="Arial" w:cs="Arial"/>
          <w:sz w:val="20"/>
          <w:szCs w:val="20"/>
          <w:vertAlign w:val="superscript"/>
        </w:rPr>
        <w:t xml:space="preserve">+ </w:t>
      </w:r>
      <w:r w:rsidR="00653750">
        <w:rPr>
          <w:rFonts w:ascii="Arial" w:hAnsi="Arial" w:cs="Arial"/>
          <w:sz w:val="20"/>
          <w:szCs w:val="20"/>
        </w:rPr>
        <w:t>fo</w:t>
      </w:r>
      <w:r w:rsidRPr="001D000D">
        <w:rPr>
          <w:rFonts w:ascii="Arial" w:hAnsi="Arial" w:cs="Arial"/>
          <w:sz w:val="20"/>
          <w:szCs w:val="20"/>
        </w:rPr>
        <w:t>rms stronger hydrogen bonds with [Tf</w:t>
      </w:r>
      <w:r w:rsidR="00653750">
        <w:rPr>
          <w:rFonts w:ascii="Arial" w:hAnsi="Arial" w:cs="Arial"/>
          <w:sz w:val="20"/>
          <w:szCs w:val="20"/>
          <w:vertAlign w:val="subscript"/>
        </w:rPr>
        <w:t>2</w:t>
      </w:r>
      <w:r w:rsidR="00653750">
        <w:rPr>
          <w:rFonts w:ascii="Arial" w:hAnsi="Arial" w:cs="Arial"/>
          <w:sz w:val="20"/>
          <w:szCs w:val="20"/>
        </w:rPr>
        <w:t>N</w:t>
      </w:r>
      <w:r w:rsidRPr="001D000D">
        <w:rPr>
          <w:rFonts w:ascii="Arial" w:hAnsi="Arial" w:cs="Arial"/>
          <w:sz w:val="20"/>
          <w:szCs w:val="20"/>
        </w:rPr>
        <w:t>]</w:t>
      </w:r>
      <w:r w:rsidRPr="001D000D">
        <w:rPr>
          <w:rFonts w:ascii="Cambria Math" w:hAnsi="Cambria Math" w:cs="Cambria Math"/>
          <w:sz w:val="20"/>
          <w:szCs w:val="20"/>
        </w:rPr>
        <w:t>⁻</w:t>
      </w:r>
      <w:r w:rsidRPr="001D000D">
        <w:rPr>
          <w:rFonts w:ascii="Arial" w:hAnsi="Arial" w:cs="Arial"/>
          <w:sz w:val="20"/>
          <w:szCs w:val="20"/>
        </w:rPr>
        <w:t>, while the bulky [BEHA]</w:t>
      </w:r>
      <w:r w:rsidRPr="001D000D">
        <w:rPr>
          <w:rFonts w:ascii="Cambria Math" w:hAnsi="Cambria Math" w:cs="Cambria Math"/>
          <w:sz w:val="20"/>
          <w:szCs w:val="20"/>
        </w:rPr>
        <w:t>⁺</w:t>
      </w:r>
      <w:r w:rsidRPr="001D000D">
        <w:rPr>
          <w:rFonts w:ascii="Arial" w:hAnsi="Arial" w:cs="Arial"/>
          <w:sz w:val="20"/>
          <w:szCs w:val="20"/>
        </w:rPr>
        <w:t xml:space="preserve"> cation introduces greater free volume. The temperature dependence of [TEA][</w:t>
      </w:r>
      <w:r w:rsidR="00653750" w:rsidRPr="001D000D">
        <w:rPr>
          <w:rFonts w:ascii="Arial" w:hAnsi="Arial" w:cs="Arial"/>
          <w:sz w:val="20"/>
          <w:szCs w:val="20"/>
        </w:rPr>
        <w:t>Tf</w:t>
      </w:r>
      <w:r w:rsidR="00653750">
        <w:rPr>
          <w:rFonts w:ascii="Arial" w:hAnsi="Arial" w:cs="Arial"/>
          <w:sz w:val="20"/>
          <w:szCs w:val="20"/>
          <w:vertAlign w:val="subscript"/>
        </w:rPr>
        <w:t>2</w:t>
      </w:r>
      <w:r w:rsidR="00653750">
        <w:rPr>
          <w:rFonts w:ascii="Arial" w:hAnsi="Arial" w:cs="Arial"/>
          <w:sz w:val="20"/>
          <w:szCs w:val="20"/>
        </w:rPr>
        <w:t>N</w:t>
      </w:r>
      <w:r w:rsidRPr="001D000D">
        <w:rPr>
          <w:rFonts w:ascii="Arial" w:hAnsi="Arial" w:cs="Arial"/>
          <w:sz w:val="20"/>
          <w:szCs w:val="20"/>
        </w:rPr>
        <w:t>] and [BEHA][</w:t>
      </w:r>
      <w:r w:rsidR="00653750" w:rsidRPr="001D000D">
        <w:rPr>
          <w:rFonts w:ascii="Arial" w:hAnsi="Arial" w:cs="Arial"/>
          <w:sz w:val="20"/>
          <w:szCs w:val="20"/>
        </w:rPr>
        <w:t>Tf</w:t>
      </w:r>
      <w:r w:rsidR="00653750">
        <w:rPr>
          <w:rFonts w:ascii="Arial" w:hAnsi="Arial" w:cs="Arial"/>
          <w:sz w:val="20"/>
          <w:szCs w:val="20"/>
          <w:vertAlign w:val="subscript"/>
        </w:rPr>
        <w:t>2</w:t>
      </w:r>
      <w:r w:rsidR="00653750">
        <w:rPr>
          <w:rFonts w:ascii="Arial" w:hAnsi="Arial" w:cs="Arial"/>
          <w:sz w:val="20"/>
          <w:szCs w:val="20"/>
        </w:rPr>
        <w:t>N</w:t>
      </w:r>
      <w:r w:rsidRPr="001D000D">
        <w:rPr>
          <w:rFonts w:ascii="Arial" w:hAnsi="Arial" w:cs="Arial"/>
          <w:sz w:val="20"/>
          <w:szCs w:val="20"/>
        </w:rPr>
        <w:t>] fitted well to a linear model, yielding thermal expansion coefficients on the order of 10</w:t>
      </w:r>
      <w:r w:rsidR="00653750" w:rsidRPr="00653750">
        <w:rPr>
          <w:rFonts w:ascii="Arial" w:hAnsi="Arial" w:cs="Arial"/>
          <w:sz w:val="20"/>
          <w:szCs w:val="20"/>
          <w:vertAlign w:val="superscript"/>
        </w:rPr>
        <w:t>-4</w:t>
      </w:r>
      <w:r w:rsidR="00653750" w:rsidRPr="00653750">
        <w:rPr>
          <w:rFonts w:ascii="Arial" w:hAnsi="Arial" w:cs="Arial"/>
          <w:sz w:val="20"/>
          <w:szCs w:val="20"/>
        </w:rPr>
        <w:t xml:space="preserve"> </w:t>
      </w:r>
      <w:r w:rsidRPr="001D000D">
        <w:rPr>
          <w:rFonts w:ascii="Arial" w:hAnsi="Arial" w:cs="Arial"/>
          <w:sz w:val="20"/>
          <w:szCs w:val="20"/>
        </w:rPr>
        <w:t>K</w:t>
      </w:r>
      <w:r w:rsidR="00653750" w:rsidRPr="00653750">
        <w:rPr>
          <w:rFonts w:ascii="Arial" w:hAnsi="Arial" w:cs="Arial"/>
          <w:sz w:val="20"/>
          <w:szCs w:val="20"/>
          <w:vertAlign w:val="superscript"/>
        </w:rPr>
        <w:t>-1</w:t>
      </w:r>
      <w:r w:rsidRPr="001D000D">
        <w:rPr>
          <w:rFonts w:ascii="Arial" w:hAnsi="Arial" w:cs="Arial"/>
          <w:sz w:val="20"/>
          <w:szCs w:val="20"/>
        </w:rPr>
        <w:t>, consistent with literature values. The calculated molar and molecular volumes increased with cation size, confirming greater free volume and weaker ionic interactions for [BEHA][</w:t>
      </w:r>
      <w:r w:rsidR="00B176D3" w:rsidRPr="001D000D">
        <w:rPr>
          <w:rFonts w:ascii="Arial" w:hAnsi="Arial" w:cs="Arial"/>
          <w:sz w:val="20"/>
          <w:szCs w:val="20"/>
        </w:rPr>
        <w:t>Tf</w:t>
      </w:r>
      <w:r w:rsidR="00B176D3">
        <w:rPr>
          <w:rFonts w:ascii="Arial" w:hAnsi="Arial" w:cs="Arial"/>
          <w:sz w:val="20"/>
          <w:szCs w:val="20"/>
          <w:vertAlign w:val="subscript"/>
        </w:rPr>
        <w:t>2</w:t>
      </w:r>
      <w:r w:rsidR="00B176D3">
        <w:rPr>
          <w:rFonts w:ascii="Arial" w:hAnsi="Arial" w:cs="Arial"/>
          <w:sz w:val="20"/>
          <w:szCs w:val="20"/>
        </w:rPr>
        <w:t>N</w:t>
      </w:r>
      <w:r w:rsidRPr="001D000D">
        <w:rPr>
          <w:rFonts w:ascii="Arial" w:hAnsi="Arial" w:cs="Arial"/>
          <w:sz w:val="20"/>
          <w:szCs w:val="20"/>
        </w:rPr>
        <w:t>].</w:t>
      </w:r>
    </w:p>
    <w:p w14:paraId="6ADDDE46" w14:textId="55D165E2" w:rsidR="001D000D" w:rsidRPr="001D000D" w:rsidRDefault="001D000D" w:rsidP="001D000D">
      <w:pPr>
        <w:spacing w:line="360" w:lineRule="auto"/>
        <w:jc w:val="both"/>
        <w:rPr>
          <w:rFonts w:ascii="Arial" w:hAnsi="Arial" w:cs="Arial"/>
          <w:sz w:val="20"/>
          <w:szCs w:val="20"/>
        </w:rPr>
      </w:pPr>
      <w:r w:rsidRPr="001D000D">
        <w:rPr>
          <w:rFonts w:ascii="Arial" w:hAnsi="Arial" w:cs="Arial"/>
          <w:sz w:val="20"/>
          <w:szCs w:val="20"/>
        </w:rPr>
        <w:t>Refractive index measurements for [TEA][</w:t>
      </w:r>
      <w:r w:rsidR="00B176D3" w:rsidRPr="001D000D">
        <w:rPr>
          <w:rFonts w:ascii="Arial" w:hAnsi="Arial" w:cs="Arial"/>
          <w:sz w:val="20"/>
          <w:szCs w:val="20"/>
        </w:rPr>
        <w:t>Tf</w:t>
      </w:r>
      <w:r w:rsidR="00B176D3">
        <w:rPr>
          <w:rFonts w:ascii="Arial" w:hAnsi="Arial" w:cs="Arial"/>
          <w:sz w:val="20"/>
          <w:szCs w:val="20"/>
          <w:vertAlign w:val="subscript"/>
        </w:rPr>
        <w:t>2</w:t>
      </w:r>
      <w:r w:rsidR="00B176D3">
        <w:rPr>
          <w:rFonts w:ascii="Arial" w:hAnsi="Arial" w:cs="Arial"/>
          <w:sz w:val="20"/>
          <w:szCs w:val="20"/>
        </w:rPr>
        <w:t>N</w:t>
      </w:r>
      <w:r w:rsidRPr="001D000D">
        <w:rPr>
          <w:rFonts w:ascii="Arial" w:hAnsi="Arial" w:cs="Arial"/>
          <w:sz w:val="20"/>
          <w:szCs w:val="20"/>
        </w:rPr>
        <w:t>] and [BEHA][</w:t>
      </w:r>
      <w:r w:rsidR="00B176D3" w:rsidRPr="001D000D">
        <w:rPr>
          <w:rFonts w:ascii="Arial" w:hAnsi="Arial" w:cs="Arial"/>
          <w:sz w:val="20"/>
          <w:szCs w:val="20"/>
        </w:rPr>
        <w:t>Tf</w:t>
      </w:r>
      <w:r w:rsidR="00B176D3">
        <w:rPr>
          <w:rFonts w:ascii="Arial" w:hAnsi="Arial" w:cs="Arial"/>
          <w:sz w:val="20"/>
          <w:szCs w:val="20"/>
          <w:vertAlign w:val="subscript"/>
        </w:rPr>
        <w:t>2</w:t>
      </w:r>
      <w:r w:rsidR="00B176D3">
        <w:rPr>
          <w:rFonts w:ascii="Arial" w:hAnsi="Arial" w:cs="Arial"/>
          <w:sz w:val="20"/>
          <w:szCs w:val="20"/>
        </w:rPr>
        <w:t>N</w:t>
      </w:r>
      <w:r w:rsidRPr="001D000D">
        <w:rPr>
          <w:rFonts w:ascii="Arial" w:hAnsi="Arial" w:cs="Arial"/>
          <w:sz w:val="20"/>
          <w:szCs w:val="20"/>
        </w:rPr>
        <w:t xml:space="preserve">] over 293.15–333.15K showed a linear decrease with temperature </w:t>
      </w:r>
      <w:r w:rsidRPr="001D000D">
        <w:rPr>
          <w:rFonts w:ascii="Arial" w:hAnsi="Arial" w:cs="Arial"/>
          <w:b/>
          <w:bCs/>
          <w:sz w:val="20"/>
          <w:szCs w:val="20"/>
          <w:highlight w:val="yellow"/>
        </w:rPr>
        <w:t xml:space="preserve">(Figure </w:t>
      </w:r>
      <w:r w:rsidR="00CB1755" w:rsidRPr="00CB1755">
        <w:rPr>
          <w:rFonts w:ascii="Arial" w:hAnsi="Arial" w:cs="Arial"/>
          <w:b/>
          <w:bCs/>
          <w:sz w:val="20"/>
          <w:szCs w:val="20"/>
          <w:highlight w:val="yellow"/>
        </w:rPr>
        <w:t>X</w:t>
      </w:r>
      <w:r w:rsidRPr="001D000D">
        <w:rPr>
          <w:rFonts w:ascii="Arial" w:hAnsi="Arial" w:cs="Arial"/>
          <w:b/>
          <w:bCs/>
          <w:sz w:val="20"/>
          <w:szCs w:val="20"/>
          <w:highlight w:val="yellow"/>
        </w:rPr>
        <w:t>),</w:t>
      </w:r>
      <w:r w:rsidRPr="001D000D">
        <w:rPr>
          <w:rFonts w:ascii="Arial" w:hAnsi="Arial" w:cs="Arial"/>
          <w:sz w:val="20"/>
          <w:szCs w:val="20"/>
        </w:rPr>
        <w:t xml:space="preserve"> paralleling the density trend. At 298.15K, [BEHA][</w:t>
      </w:r>
      <w:r w:rsidR="00B176D3" w:rsidRPr="001D000D">
        <w:rPr>
          <w:rFonts w:ascii="Arial" w:hAnsi="Arial" w:cs="Arial"/>
          <w:sz w:val="20"/>
          <w:szCs w:val="20"/>
        </w:rPr>
        <w:t>Tf</w:t>
      </w:r>
      <w:r w:rsidR="00B176D3">
        <w:rPr>
          <w:rFonts w:ascii="Arial" w:hAnsi="Arial" w:cs="Arial"/>
          <w:sz w:val="20"/>
          <w:szCs w:val="20"/>
          <w:vertAlign w:val="subscript"/>
        </w:rPr>
        <w:t>2</w:t>
      </w:r>
      <w:r w:rsidR="00B176D3">
        <w:rPr>
          <w:rFonts w:ascii="Arial" w:hAnsi="Arial" w:cs="Arial"/>
          <w:sz w:val="20"/>
          <w:szCs w:val="20"/>
        </w:rPr>
        <w:t>N</w:t>
      </w:r>
      <w:r w:rsidRPr="001D000D">
        <w:rPr>
          <w:rFonts w:ascii="Arial" w:hAnsi="Arial" w:cs="Arial"/>
          <w:sz w:val="20"/>
          <w:szCs w:val="20"/>
        </w:rPr>
        <w:t>] exhibited a higher refractive index despite its lower density, attributed to higher molar refraction and ionic polarizability. Calculations based on the Lorentz–Lorenz relation indicated that [BEHA][</w:t>
      </w:r>
      <w:r w:rsidR="002469FA" w:rsidRPr="001D000D">
        <w:rPr>
          <w:rFonts w:ascii="Arial" w:hAnsi="Arial" w:cs="Arial"/>
          <w:sz w:val="20"/>
          <w:szCs w:val="20"/>
        </w:rPr>
        <w:t>Tf</w:t>
      </w:r>
      <w:r w:rsidR="002469FA">
        <w:rPr>
          <w:rFonts w:ascii="Arial" w:hAnsi="Arial" w:cs="Arial"/>
          <w:sz w:val="20"/>
          <w:szCs w:val="20"/>
          <w:vertAlign w:val="subscript"/>
        </w:rPr>
        <w:t>2</w:t>
      </w:r>
      <w:r w:rsidR="002469FA">
        <w:rPr>
          <w:rFonts w:ascii="Arial" w:hAnsi="Arial" w:cs="Arial"/>
          <w:sz w:val="20"/>
          <w:szCs w:val="20"/>
        </w:rPr>
        <w:t>N</w:t>
      </w:r>
      <w:r w:rsidRPr="001D000D">
        <w:rPr>
          <w:rFonts w:ascii="Arial" w:hAnsi="Arial" w:cs="Arial"/>
          <w:sz w:val="20"/>
          <w:szCs w:val="20"/>
        </w:rPr>
        <w:t>] has greater molar refraction and free volume than [TEA][</w:t>
      </w:r>
      <w:r w:rsidR="002469FA" w:rsidRPr="001D000D">
        <w:rPr>
          <w:rFonts w:ascii="Arial" w:hAnsi="Arial" w:cs="Arial"/>
          <w:sz w:val="20"/>
          <w:szCs w:val="20"/>
        </w:rPr>
        <w:t>Tf</w:t>
      </w:r>
      <w:r w:rsidR="002469FA">
        <w:rPr>
          <w:rFonts w:ascii="Arial" w:hAnsi="Arial" w:cs="Arial"/>
          <w:sz w:val="20"/>
          <w:szCs w:val="20"/>
          <w:vertAlign w:val="subscript"/>
        </w:rPr>
        <w:t>2</w:t>
      </w:r>
      <w:r w:rsidR="002469FA">
        <w:rPr>
          <w:rFonts w:ascii="Arial" w:hAnsi="Arial" w:cs="Arial"/>
          <w:sz w:val="20"/>
          <w:szCs w:val="20"/>
        </w:rPr>
        <w:t>N</w:t>
      </w:r>
      <w:r w:rsidRPr="001D000D">
        <w:rPr>
          <w:rFonts w:ascii="Arial" w:hAnsi="Arial" w:cs="Arial"/>
          <w:sz w:val="20"/>
          <w:szCs w:val="20"/>
        </w:rPr>
        <w:t>], consistent with its bulkier and more polarizable cation. Similar behavior has been reported for ammonium based ionic liquids with longer alkyl chains. The refractive index of [DEA][</w:t>
      </w:r>
      <w:r w:rsidR="002469FA" w:rsidRPr="001D000D">
        <w:rPr>
          <w:rFonts w:ascii="Arial" w:hAnsi="Arial" w:cs="Arial"/>
          <w:sz w:val="20"/>
          <w:szCs w:val="20"/>
        </w:rPr>
        <w:t>Tf</w:t>
      </w:r>
      <w:r w:rsidR="002469FA">
        <w:rPr>
          <w:rFonts w:ascii="Arial" w:hAnsi="Arial" w:cs="Arial"/>
          <w:sz w:val="20"/>
          <w:szCs w:val="20"/>
          <w:vertAlign w:val="subscript"/>
        </w:rPr>
        <w:t>2</w:t>
      </w:r>
      <w:r w:rsidR="002469FA">
        <w:rPr>
          <w:rFonts w:ascii="Arial" w:hAnsi="Arial" w:cs="Arial"/>
          <w:sz w:val="20"/>
          <w:szCs w:val="20"/>
        </w:rPr>
        <w:t>N</w:t>
      </w:r>
      <w:r w:rsidRPr="001D000D">
        <w:rPr>
          <w:rFonts w:ascii="Arial" w:hAnsi="Arial" w:cs="Arial"/>
          <w:sz w:val="20"/>
          <w:szCs w:val="20"/>
        </w:rPr>
        <w:t>] was not measured due to its solid state but is expected to be the lowest in the series because of its smaller cation and reduced polarizability.</w:t>
      </w:r>
    </w:p>
    <w:p w14:paraId="390D8B93" w14:textId="3C8D54D8" w:rsidR="00B1481A" w:rsidRPr="00B1481A" w:rsidRDefault="00EC7218" w:rsidP="00B1481A">
      <w:pPr>
        <w:spacing w:line="360" w:lineRule="auto"/>
        <w:jc w:val="both"/>
        <w:rPr>
          <w:rFonts w:ascii="Arial" w:hAnsi="Arial" w:cs="Arial"/>
          <w:b/>
          <w:bCs/>
          <w:sz w:val="20"/>
          <w:szCs w:val="20"/>
        </w:rPr>
      </w:pPr>
      <w:r>
        <w:rPr>
          <w:rFonts w:ascii="Arial" w:hAnsi="Arial" w:cs="Arial"/>
          <w:b/>
          <w:bCs/>
          <w:sz w:val="20"/>
          <w:szCs w:val="20"/>
        </w:rPr>
        <w:t xml:space="preserve">3.4 </w:t>
      </w:r>
      <w:r w:rsidR="00B1481A" w:rsidRPr="00B1481A">
        <w:rPr>
          <w:rFonts w:ascii="Arial" w:hAnsi="Arial" w:cs="Arial"/>
          <w:b/>
          <w:bCs/>
          <w:sz w:val="20"/>
          <w:szCs w:val="20"/>
        </w:rPr>
        <w:t>CO</w:t>
      </w:r>
      <w:r w:rsidR="00F35633" w:rsidRPr="00F35633">
        <w:rPr>
          <w:rFonts w:ascii="Arial" w:hAnsi="Arial" w:cs="Arial"/>
          <w:b/>
          <w:bCs/>
          <w:sz w:val="20"/>
          <w:szCs w:val="20"/>
          <w:vertAlign w:val="subscript"/>
        </w:rPr>
        <w:t>2</w:t>
      </w:r>
      <w:r w:rsidR="00B1481A" w:rsidRPr="00B1481A">
        <w:rPr>
          <w:rFonts w:ascii="Arial" w:hAnsi="Arial" w:cs="Arial"/>
          <w:b/>
          <w:bCs/>
          <w:sz w:val="20"/>
          <w:szCs w:val="20"/>
        </w:rPr>
        <w:t xml:space="preserve"> </w:t>
      </w:r>
      <w:r w:rsidR="008F0514">
        <w:rPr>
          <w:rFonts w:ascii="Arial" w:hAnsi="Arial" w:cs="Arial"/>
          <w:b/>
          <w:bCs/>
          <w:sz w:val="20"/>
          <w:szCs w:val="20"/>
        </w:rPr>
        <w:t>Solubility and C</w:t>
      </w:r>
      <w:r w:rsidR="00E847BD">
        <w:rPr>
          <w:rFonts w:ascii="Arial" w:hAnsi="Arial" w:cs="Arial"/>
          <w:b/>
          <w:bCs/>
          <w:sz w:val="20"/>
          <w:szCs w:val="20"/>
        </w:rPr>
        <w:t>haracterization</w:t>
      </w:r>
    </w:p>
    <w:p w14:paraId="3FF94C52" w14:textId="0C7CF24F" w:rsidR="00EC7B7F" w:rsidRDefault="00EC7B7F" w:rsidP="00EC7B7F">
      <w:pPr>
        <w:spacing w:line="360" w:lineRule="auto"/>
        <w:jc w:val="both"/>
        <w:rPr>
          <w:rFonts w:ascii="Arial" w:hAnsi="Arial" w:cs="Arial"/>
          <w:sz w:val="20"/>
          <w:szCs w:val="20"/>
        </w:rPr>
      </w:pPr>
      <w:r w:rsidRPr="00EC7B7F">
        <w:rPr>
          <w:rFonts w:ascii="Arial" w:hAnsi="Arial" w:cs="Arial"/>
          <w:sz w:val="20"/>
          <w:szCs w:val="20"/>
        </w:rPr>
        <w:t xml:space="preserve">The solubility of </w:t>
      </w:r>
      <w:r w:rsidR="0098568C">
        <w:rPr>
          <w:rFonts w:ascii="Arial" w:hAnsi="Arial" w:cs="Arial"/>
          <w:sz w:val="20"/>
          <w:szCs w:val="20"/>
        </w:rPr>
        <w:t>CO</w:t>
      </w:r>
      <w:r w:rsidR="0098568C">
        <w:rPr>
          <w:rFonts w:ascii="Arial" w:hAnsi="Arial" w:cs="Arial"/>
          <w:sz w:val="20"/>
          <w:szCs w:val="20"/>
          <w:vertAlign w:val="subscript"/>
        </w:rPr>
        <w:t>2</w:t>
      </w:r>
      <w:r w:rsidRPr="00EC7B7F">
        <w:rPr>
          <w:rFonts w:ascii="Arial" w:hAnsi="Arial" w:cs="Arial"/>
          <w:sz w:val="20"/>
          <w:szCs w:val="20"/>
        </w:rPr>
        <w:t xml:space="preserve"> in [DEA][T</w:t>
      </w:r>
      <w:r w:rsidR="00CB1755">
        <w:rPr>
          <w:rFonts w:ascii="Arial" w:hAnsi="Arial" w:cs="Arial"/>
          <w:sz w:val="20"/>
          <w:szCs w:val="20"/>
        </w:rPr>
        <w:t>f</w:t>
      </w:r>
      <w:r w:rsidR="00CB1755">
        <w:rPr>
          <w:rFonts w:ascii="Arial" w:hAnsi="Arial" w:cs="Arial"/>
          <w:sz w:val="20"/>
          <w:szCs w:val="20"/>
          <w:vertAlign w:val="subscript"/>
        </w:rPr>
        <w:t>2</w:t>
      </w:r>
      <w:r w:rsidRPr="00EC7B7F">
        <w:rPr>
          <w:rFonts w:ascii="Arial" w:hAnsi="Arial" w:cs="Arial"/>
          <w:sz w:val="20"/>
          <w:szCs w:val="20"/>
        </w:rPr>
        <w:t>N], [TEA][</w:t>
      </w:r>
      <w:r w:rsidR="00CB1755" w:rsidRPr="00EC7B7F">
        <w:rPr>
          <w:rFonts w:ascii="Arial" w:hAnsi="Arial" w:cs="Arial"/>
          <w:sz w:val="20"/>
          <w:szCs w:val="20"/>
        </w:rPr>
        <w:t>T</w:t>
      </w:r>
      <w:r w:rsidR="00CB1755">
        <w:rPr>
          <w:rFonts w:ascii="Arial" w:hAnsi="Arial" w:cs="Arial"/>
          <w:sz w:val="20"/>
          <w:szCs w:val="20"/>
        </w:rPr>
        <w:t>f</w:t>
      </w:r>
      <w:r w:rsidR="00CB1755">
        <w:rPr>
          <w:rFonts w:ascii="Arial" w:hAnsi="Arial" w:cs="Arial"/>
          <w:sz w:val="20"/>
          <w:szCs w:val="20"/>
          <w:vertAlign w:val="subscript"/>
        </w:rPr>
        <w:t>2</w:t>
      </w:r>
      <w:r w:rsidR="00CB1755" w:rsidRPr="00EC7B7F">
        <w:rPr>
          <w:rFonts w:ascii="Arial" w:hAnsi="Arial" w:cs="Arial"/>
          <w:sz w:val="20"/>
          <w:szCs w:val="20"/>
        </w:rPr>
        <w:t>N</w:t>
      </w:r>
      <w:r w:rsidRPr="00EC7B7F">
        <w:rPr>
          <w:rFonts w:ascii="Arial" w:hAnsi="Arial" w:cs="Arial"/>
          <w:sz w:val="20"/>
          <w:szCs w:val="20"/>
        </w:rPr>
        <w:t>], and [BEHA][</w:t>
      </w:r>
      <w:r w:rsidR="00C45B4F" w:rsidRPr="00EC7B7F">
        <w:rPr>
          <w:rFonts w:ascii="Arial" w:hAnsi="Arial" w:cs="Arial"/>
          <w:sz w:val="20"/>
          <w:szCs w:val="20"/>
        </w:rPr>
        <w:t>T</w:t>
      </w:r>
      <w:r w:rsidR="00C45B4F">
        <w:rPr>
          <w:rFonts w:ascii="Arial" w:hAnsi="Arial" w:cs="Arial"/>
          <w:sz w:val="20"/>
          <w:szCs w:val="20"/>
        </w:rPr>
        <w:t>f</w:t>
      </w:r>
      <w:r w:rsidR="00C45B4F">
        <w:rPr>
          <w:rFonts w:ascii="Arial" w:hAnsi="Arial" w:cs="Arial"/>
          <w:sz w:val="20"/>
          <w:szCs w:val="20"/>
          <w:vertAlign w:val="subscript"/>
        </w:rPr>
        <w:t>2</w:t>
      </w:r>
      <w:r w:rsidR="00C45B4F" w:rsidRPr="00EC7B7F">
        <w:rPr>
          <w:rFonts w:ascii="Arial" w:hAnsi="Arial" w:cs="Arial"/>
          <w:sz w:val="20"/>
          <w:szCs w:val="20"/>
        </w:rPr>
        <w:t>N</w:t>
      </w:r>
      <w:r w:rsidRPr="00EC7B7F">
        <w:rPr>
          <w:rFonts w:ascii="Arial" w:hAnsi="Arial" w:cs="Arial"/>
          <w:sz w:val="20"/>
          <w:szCs w:val="20"/>
        </w:rPr>
        <w:t xml:space="preserve">] was investigated at 298.15 to 333.15K and pressures up to 20 bar. The </w:t>
      </w:r>
      <w:r w:rsidR="0098568C">
        <w:rPr>
          <w:rFonts w:ascii="Arial" w:hAnsi="Arial" w:cs="Arial"/>
          <w:sz w:val="20"/>
          <w:szCs w:val="20"/>
        </w:rPr>
        <w:t>CO</w:t>
      </w:r>
      <w:r w:rsidR="0098568C">
        <w:rPr>
          <w:rFonts w:ascii="Arial" w:hAnsi="Arial" w:cs="Arial"/>
          <w:sz w:val="20"/>
          <w:szCs w:val="20"/>
          <w:vertAlign w:val="subscript"/>
        </w:rPr>
        <w:t xml:space="preserve">2 </w:t>
      </w:r>
      <w:r w:rsidRPr="00EC7B7F">
        <w:rPr>
          <w:rFonts w:ascii="Arial" w:hAnsi="Arial" w:cs="Arial"/>
          <w:sz w:val="20"/>
          <w:szCs w:val="20"/>
        </w:rPr>
        <w:t xml:space="preserve">mole fraction increased linearly with pressure, following Henry’s law, while solubility decreased with increasing temperature due to the exothermic nature of the absorption process. The increase in Henry’s law constants with temperature confirms that higher thermal energy weakens the interaction between </w:t>
      </w:r>
      <w:r w:rsidR="0098568C">
        <w:rPr>
          <w:rFonts w:ascii="Arial" w:hAnsi="Arial" w:cs="Arial"/>
          <w:sz w:val="20"/>
          <w:szCs w:val="20"/>
        </w:rPr>
        <w:t>CO</w:t>
      </w:r>
      <w:r w:rsidR="0098568C">
        <w:rPr>
          <w:rFonts w:ascii="Arial" w:hAnsi="Arial" w:cs="Arial"/>
          <w:sz w:val="20"/>
          <w:szCs w:val="20"/>
          <w:vertAlign w:val="subscript"/>
        </w:rPr>
        <w:t xml:space="preserve">2 </w:t>
      </w:r>
      <w:r w:rsidRPr="00EC7B7F">
        <w:rPr>
          <w:rFonts w:ascii="Arial" w:hAnsi="Arial" w:cs="Arial"/>
          <w:sz w:val="20"/>
          <w:szCs w:val="20"/>
        </w:rPr>
        <w:t>and the liquid phase, promoting gas release.</w:t>
      </w:r>
    </w:p>
    <w:tbl>
      <w:tblPr>
        <w:tblStyle w:val="ListTable6Colorful"/>
        <w:tblW w:w="9072" w:type="dxa"/>
        <w:tblLook w:val="04A0" w:firstRow="1" w:lastRow="0" w:firstColumn="1" w:lastColumn="0" w:noHBand="0" w:noVBand="1"/>
      </w:tblPr>
      <w:tblGrid>
        <w:gridCol w:w="1962"/>
        <w:gridCol w:w="2370"/>
        <w:gridCol w:w="2370"/>
        <w:gridCol w:w="2370"/>
      </w:tblGrid>
      <w:tr w:rsidR="00BE4E97" w:rsidRPr="00C339F5" w14:paraId="25612540" w14:textId="77777777" w:rsidTr="00962C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2" w:type="dxa"/>
            <w:vMerge w:val="restart"/>
            <w:shd w:val="clear" w:color="auto" w:fill="auto"/>
            <w:vAlign w:val="center"/>
          </w:tcPr>
          <w:p w14:paraId="59F45911" w14:textId="77777777" w:rsidR="00BE4E97" w:rsidRPr="00B4674C" w:rsidRDefault="00BE4E97" w:rsidP="00962C49">
            <w:pPr>
              <w:pStyle w:val="MDPI31text"/>
              <w:ind w:left="0" w:firstLine="0"/>
              <w:jc w:val="center"/>
              <w:rPr>
                <w:rFonts w:ascii="Arial" w:hAnsi="Arial" w:cs="Arial"/>
                <w:szCs w:val="20"/>
              </w:rPr>
            </w:pPr>
            <w:r w:rsidRPr="00B4674C">
              <w:rPr>
                <w:rFonts w:ascii="Arial" w:hAnsi="Arial" w:cs="Arial"/>
                <w:szCs w:val="20"/>
              </w:rPr>
              <w:lastRenderedPageBreak/>
              <w:t>HPILs</w:t>
            </w:r>
          </w:p>
        </w:tc>
        <w:tc>
          <w:tcPr>
            <w:tcW w:w="7110" w:type="dxa"/>
            <w:gridSpan w:val="3"/>
            <w:shd w:val="clear" w:color="auto" w:fill="auto"/>
          </w:tcPr>
          <w:p w14:paraId="0E09B493" w14:textId="77777777" w:rsidR="00BE4E97" w:rsidRPr="00BE4E97" w:rsidRDefault="00BE4E97" w:rsidP="00962C49">
            <w:pPr>
              <w:pStyle w:val="MDPI31text"/>
              <w:ind w:left="0"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szCs w:val="20"/>
              </w:rPr>
            </w:pPr>
            <w:r w:rsidRPr="00BE4E97">
              <w:rPr>
                <w:rFonts w:ascii="Arial" w:hAnsi="Arial" w:cs="Arial"/>
                <w:szCs w:val="20"/>
              </w:rPr>
              <w:t>K</w:t>
            </w:r>
            <w:r w:rsidRPr="00BE4E97">
              <w:rPr>
                <w:rFonts w:ascii="Arial" w:hAnsi="Arial" w:cs="Arial"/>
                <w:szCs w:val="20"/>
                <w:vertAlign w:val="subscript"/>
              </w:rPr>
              <w:t>H</w:t>
            </w:r>
            <w:r w:rsidRPr="00BE4E97">
              <w:rPr>
                <w:rFonts w:ascii="Arial" w:hAnsi="Arial" w:cs="Arial"/>
                <w:szCs w:val="20"/>
              </w:rPr>
              <w:t xml:space="preserve"> (bar)</w:t>
            </w:r>
          </w:p>
        </w:tc>
      </w:tr>
      <w:tr w:rsidR="00BE4E97" w:rsidRPr="00C339F5" w14:paraId="72D7DE39" w14:textId="77777777" w:rsidTr="00962C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2" w:type="dxa"/>
            <w:vMerge/>
            <w:tcBorders>
              <w:bottom w:val="single" w:sz="4" w:space="0" w:color="auto"/>
            </w:tcBorders>
            <w:shd w:val="clear" w:color="auto" w:fill="auto"/>
          </w:tcPr>
          <w:p w14:paraId="1ADEC46C" w14:textId="77777777" w:rsidR="00BE4E97" w:rsidRPr="00BE4E97" w:rsidRDefault="00BE4E97" w:rsidP="00962C49">
            <w:pPr>
              <w:pStyle w:val="MDPI31text"/>
              <w:ind w:left="0" w:firstLine="0"/>
              <w:jc w:val="center"/>
              <w:rPr>
                <w:rFonts w:ascii="Arial" w:hAnsi="Arial" w:cs="Arial"/>
                <w:b w:val="0"/>
                <w:bCs w:val="0"/>
                <w:szCs w:val="20"/>
              </w:rPr>
            </w:pPr>
          </w:p>
        </w:tc>
        <w:tc>
          <w:tcPr>
            <w:tcW w:w="2370" w:type="dxa"/>
            <w:tcBorders>
              <w:bottom w:val="single" w:sz="4" w:space="0" w:color="auto"/>
            </w:tcBorders>
            <w:shd w:val="clear" w:color="auto" w:fill="auto"/>
          </w:tcPr>
          <w:p w14:paraId="6F22113D" w14:textId="77777777" w:rsidR="00BE4E97" w:rsidRPr="00BE4E97" w:rsidRDefault="00BE4E97" w:rsidP="00962C49">
            <w:pPr>
              <w:pStyle w:val="MDPI31text"/>
              <w:ind w:left="0"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b/>
                <w:bCs/>
                <w:szCs w:val="20"/>
              </w:rPr>
            </w:pPr>
            <w:r w:rsidRPr="00BE4E97">
              <w:rPr>
                <w:rFonts w:ascii="Arial" w:hAnsi="Arial" w:cs="Arial"/>
                <w:b/>
                <w:bCs/>
                <w:szCs w:val="20"/>
              </w:rPr>
              <w:t>T = 298.15K</w:t>
            </w:r>
          </w:p>
        </w:tc>
        <w:tc>
          <w:tcPr>
            <w:tcW w:w="2370" w:type="dxa"/>
            <w:tcBorders>
              <w:bottom w:val="single" w:sz="4" w:space="0" w:color="auto"/>
            </w:tcBorders>
            <w:shd w:val="clear" w:color="auto" w:fill="auto"/>
          </w:tcPr>
          <w:p w14:paraId="08FC3F3C" w14:textId="77777777" w:rsidR="00BE4E97" w:rsidRPr="00BE4E97" w:rsidRDefault="00BE4E97" w:rsidP="00962C49">
            <w:pPr>
              <w:pStyle w:val="MDPI31text"/>
              <w:ind w:left="0"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b/>
                <w:bCs/>
                <w:szCs w:val="20"/>
              </w:rPr>
            </w:pPr>
            <w:r w:rsidRPr="00BE4E97">
              <w:rPr>
                <w:rFonts w:ascii="Arial" w:hAnsi="Arial" w:cs="Arial"/>
                <w:b/>
                <w:bCs/>
                <w:szCs w:val="20"/>
              </w:rPr>
              <w:t>T = 313.15K</w:t>
            </w:r>
          </w:p>
        </w:tc>
        <w:tc>
          <w:tcPr>
            <w:tcW w:w="2370" w:type="dxa"/>
            <w:tcBorders>
              <w:bottom w:val="single" w:sz="4" w:space="0" w:color="auto"/>
            </w:tcBorders>
            <w:shd w:val="clear" w:color="auto" w:fill="auto"/>
          </w:tcPr>
          <w:p w14:paraId="50128DD4" w14:textId="77777777" w:rsidR="00BE4E97" w:rsidRPr="00BE4E97" w:rsidRDefault="00BE4E97" w:rsidP="00962C49">
            <w:pPr>
              <w:pStyle w:val="MDPI31text"/>
              <w:ind w:left="0"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b/>
                <w:bCs/>
                <w:szCs w:val="20"/>
              </w:rPr>
            </w:pPr>
            <w:r w:rsidRPr="00BE4E97">
              <w:rPr>
                <w:rFonts w:ascii="Arial" w:hAnsi="Arial" w:cs="Arial"/>
                <w:b/>
                <w:bCs/>
                <w:szCs w:val="20"/>
              </w:rPr>
              <w:t>T = 333.15K</w:t>
            </w:r>
          </w:p>
        </w:tc>
      </w:tr>
      <w:tr w:rsidR="00BE4E97" w:rsidRPr="00C339F5" w14:paraId="10CE2614" w14:textId="77777777" w:rsidTr="00962C49">
        <w:tc>
          <w:tcPr>
            <w:cnfStyle w:val="001000000000" w:firstRow="0" w:lastRow="0" w:firstColumn="1" w:lastColumn="0" w:oddVBand="0" w:evenVBand="0" w:oddHBand="0" w:evenHBand="0" w:firstRowFirstColumn="0" w:firstRowLastColumn="0" w:lastRowFirstColumn="0" w:lastRowLastColumn="0"/>
            <w:tcW w:w="1962" w:type="dxa"/>
            <w:tcBorders>
              <w:top w:val="single" w:sz="4" w:space="0" w:color="auto"/>
              <w:bottom w:val="nil"/>
            </w:tcBorders>
            <w:shd w:val="clear" w:color="auto" w:fill="auto"/>
          </w:tcPr>
          <w:p w14:paraId="5E75133C" w14:textId="77777777" w:rsidR="00BE4E97" w:rsidRPr="00BE4E97" w:rsidRDefault="00BE4E97" w:rsidP="00962C49">
            <w:pPr>
              <w:pStyle w:val="MDPI31text"/>
              <w:ind w:left="0" w:firstLine="0"/>
              <w:jc w:val="center"/>
              <w:rPr>
                <w:rFonts w:ascii="Arial" w:hAnsi="Arial" w:cs="Arial"/>
                <w:b w:val="0"/>
                <w:bCs w:val="0"/>
                <w:szCs w:val="20"/>
              </w:rPr>
            </w:pPr>
            <w:r w:rsidRPr="00BE4E97">
              <w:rPr>
                <w:rFonts w:ascii="Arial" w:hAnsi="Arial" w:cs="Arial"/>
                <w:b w:val="0"/>
                <w:bCs w:val="0"/>
                <w:szCs w:val="20"/>
              </w:rPr>
              <w:t>CO</w:t>
            </w:r>
            <w:r w:rsidRPr="00BE4E97">
              <w:rPr>
                <w:rFonts w:ascii="Arial" w:hAnsi="Arial" w:cs="Arial"/>
                <w:b w:val="0"/>
                <w:bCs w:val="0"/>
                <w:szCs w:val="20"/>
                <w:vertAlign w:val="subscript"/>
              </w:rPr>
              <w:t>2</w:t>
            </w:r>
            <w:r w:rsidRPr="00BE4E97">
              <w:rPr>
                <w:rFonts w:ascii="Arial" w:hAnsi="Arial" w:cs="Arial"/>
                <w:b w:val="0"/>
                <w:bCs w:val="0"/>
                <w:szCs w:val="20"/>
              </w:rPr>
              <w:t xml:space="preserve"> + [DEA][Tf</w:t>
            </w:r>
            <w:r w:rsidRPr="00BE4E97">
              <w:rPr>
                <w:rFonts w:ascii="Arial" w:hAnsi="Arial" w:cs="Arial"/>
                <w:b w:val="0"/>
                <w:bCs w:val="0"/>
                <w:szCs w:val="20"/>
                <w:vertAlign w:val="subscript"/>
              </w:rPr>
              <w:t>2</w:t>
            </w:r>
            <w:r w:rsidRPr="00BE4E97">
              <w:rPr>
                <w:rFonts w:ascii="Arial" w:hAnsi="Arial" w:cs="Arial"/>
                <w:b w:val="0"/>
                <w:bCs w:val="0"/>
                <w:szCs w:val="20"/>
              </w:rPr>
              <w:t>N]</w:t>
            </w:r>
          </w:p>
        </w:tc>
        <w:tc>
          <w:tcPr>
            <w:tcW w:w="2370" w:type="dxa"/>
            <w:tcBorders>
              <w:top w:val="single" w:sz="4" w:space="0" w:color="auto"/>
              <w:bottom w:val="nil"/>
            </w:tcBorders>
            <w:shd w:val="clear" w:color="auto" w:fill="auto"/>
          </w:tcPr>
          <w:p w14:paraId="4C6FDF9B" w14:textId="77777777" w:rsidR="00BE4E97" w:rsidRPr="00BE4E97" w:rsidRDefault="00BE4E97" w:rsidP="00962C49">
            <w:pPr>
              <w:pStyle w:val="MDPI31text"/>
              <w:ind w:left="0"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BE4E97">
              <w:rPr>
                <w:rFonts w:ascii="Arial" w:hAnsi="Arial" w:cs="Arial"/>
                <w:szCs w:val="20"/>
              </w:rPr>
              <w:t>38.70</w:t>
            </w:r>
          </w:p>
        </w:tc>
        <w:tc>
          <w:tcPr>
            <w:tcW w:w="2370" w:type="dxa"/>
            <w:tcBorders>
              <w:top w:val="single" w:sz="4" w:space="0" w:color="auto"/>
              <w:bottom w:val="nil"/>
            </w:tcBorders>
            <w:shd w:val="clear" w:color="auto" w:fill="auto"/>
          </w:tcPr>
          <w:p w14:paraId="7AE20BFB" w14:textId="77777777" w:rsidR="00BE4E97" w:rsidRPr="00BE4E97" w:rsidRDefault="00BE4E97" w:rsidP="00962C49">
            <w:pPr>
              <w:pStyle w:val="MDPI31text"/>
              <w:ind w:left="0"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BE4E97">
              <w:rPr>
                <w:rFonts w:ascii="Arial" w:hAnsi="Arial" w:cs="Arial"/>
                <w:szCs w:val="20"/>
              </w:rPr>
              <w:t>39.29</w:t>
            </w:r>
          </w:p>
        </w:tc>
        <w:tc>
          <w:tcPr>
            <w:tcW w:w="2370" w:type="dxa"/>
            <w:tcBorders>
              <w:top w:val="single" w:sz="4" w:space="0" w:color="auto"/>
              <w:bottom w:val="nil"/>
            </w:tcBorders>
            <w:shd w:val="clear" w:color="auto" w:fill="auto"/>
          </w:tcPr>
          <w:p w14:paraId="4CF291BF" w14:textId="77777777" w:rsidR="00BE4E97" w:rsidRPr="00BE4E97" w:rsidRDefault="00BE4E97" w:rsidP="00962C49">
            <w:pPr>
              <w:pStyle w:val="MDPI31text"/>
              <w:ind w:left="0"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BE4E97">
              <w:rPr>
                <w:rFonts w:ascii="Arial" w:hAnsi="Arial" w:cs="Arial"/>
                <w:szCs w:val="20"/>
              </w:rPr>
              <w:t>44.09</w:t>
            </w:r>
          </w:p>
        </w:tc>
      </w:tr>
      <w:tr w:rsidR="00BE4E97" w:rsidRPr="00C339F5" w14:paraId="74E76AF6" w14:textId="77777777" w:rsidTr="00962C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2" w:type="dxa"/>
            <w:tcBorders>
              <w:top w:val="nil"/>
            </w:tcBorders>
            <w:shd w:val="clear" w:color="auto" w:fill="auto"/>
          </w:tcPr>
          <w:p w14:paraId="4F979100" w14:textId="77777777" w:rsidR="00BE4E97" w:rsidRPr="00BE4E97" w:rsidRDefault="00BE4E97" w:rsidP="00962C49">
            <w:pPr>
              <w:pStyle w:val="MDPI31text"/>
              <w:ind w:left="0" w:firstLine="0"/>
              <w:jc w:val="center"/>
              <w:rPr>
                <w:rFonts w:ascii="Arial" w:hAnsi="Arial" w:cs="Arial"/>
                <w:b w:val="0"/>
                <w:bCs w:val="0"/>
                <w:szCs w:val="20"/>
              </w:rPr>
            </w:pPr>
            <w:r w:rsidRPr="00BE4E97">
              <w:rPr>
                <w:rFonts w:ascii="Arial" w:hAnsi="Arial" w:cs="Arial"/>
                <w:b w:val="0"/>
                <w:bCs w:val="0"/>
                <w:szCs w:val="20"/>
              </w:rPr>
              <w:t>CO</w:t>
            </w:r>
            <w:r w:rsidRPr="00BE4E97">
              <w:rPr>
                <w:rFonts w:ascii="Arial" w:hAnsi="Arial" w:cs="Arial"/>
                <w:b w:val="0"/>
                <w:bCs w:val="0"/>
                <w:szCs w:val="20"/>
                <w:vertAlign w:val="subscript"/>
              </w:rPr>
              <w:t>2</w:t>
            </w:r>
            <w:r w:rsidRPr="00BE4E97">
              <w:rPr>
                <w:rFonts w:ascii="Arial" w:hAnsi="Arial" w:cs="Arial"/>
                <w:b w:val="0"/>
                <w:bCs w:val="0"/>
                <w:szCs w:val="20"/>
              </w:rPr>
              <w:t xml:space="preserve"> + [TEA][Tf</w:t>
            </w:r>
            <w:r w:rsidRPr="00BE4E97">
              <w:rPr>
                <w:rFonts w:ascii="Arial" w:hAnsi="Arial" w:cs="Arial"/>
                <w:b w:val="0"/>
                <w:bCs w:val="0"/>
                <w:szCs w:val="20"/>
                <w:vertAlign w:val="subscript"/>
              </w:rPr>
              <w:t>2</w:t>
            </w:r>
            <w:r w:rsidRPr="00BE4E97">
              <w:rPr>
                <w:rFonts w:ascii="Arial" w:hAnsi="Arial" w:cs="Arial"/>
                <w:b w:val="0"/>
                <w:bCs w:val="0"/>
                <w:szCs w:val="20"/>
              </w:rPr>
              <w:t>N]</w:t>
            </w:r>
          </w:p>
        </w:tc>
        <w:tc>
          <w:tcPr>
            <w:tcW w:w="2370" w:type="dxa"/>
            <w:tcBorders>
              <w:top w:val="nil"/>
            </w:tcBorders>
            <w:shd w:val="clear" w:color="auto" w:fill="auto"/>
          </w:tcPr>
          <w:p w14:paraId="04A28EA3" w14:textId="77777777" w:rsidR="00BE4E97" w:rsidRPr="00BE4E97" w:rsidRDefault="00BE4E97" w:rsidP="00962C49">
            <w:pPr>
              <w:pStyle w:val="MDPI31text"/>
              <w:ind w:left="0"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BE4E97">
              <w:rPr>
                <w:rFonts w:ascii="Arial" w:hAnsi="Arial" w:cs="Arial"/>
                <w:szCs w:val="20"/>
              </w:rPr>
              <w:t>30.12</w:t>
            </w:r>
          </w:p>
        </w:tc>
        <w:tc>
          <w:tcPr>
            <w:tcW w:w="2370" w:type="dxa"/>
            <w:tcBorders>
              <w:top w:val="nil"/>
            </w:tcBorders>
            <w:shd w:val="clear" w:color="auto" w:fill="auto"/>
          </w:tcPr>
          <w:p w14:paraId="6B46AA53" w14:textId="77777777" w:rsidR="00BE4E97" w:rsidRPr="00BE4E97" w:rsidRDefault="00BE4E97" w:rsidP="00962C49">
            <w:pPr>
              <w:pStyle w:val="MDPI31text"/>
              <w:ind w:left="0"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BE4E97">
              <w:rPr>
                <w:rFonts w:ascii="Arial" w:hAnsi="Arial" w:cs="Arial"/>
                <w:szCs w:val="20"/>
              </w:rPr>
              <w:t>32.81</w:t>
            </w:r>
          </w:p>
        </w:tc>
        <w:tc>
          <w:tcPr>
            <w:tcW w:w="2370" w:type="dxa"/>
            <w:tcBorders>
              <w:top w:val="nil"/>
            </w:tcBorders>
            <w:shd w:val="clear" w:color="auto" w:fill="auto"/>
          </w:tcPr>
          <w:p w14:paraId="11012B51" w14:textId="77777777" w:rsidR="00BE4E97" w:rsidRPr="00BE4E97" w:rsidRDefault="00BE4E97" w:rsidP="00962C49">
            <w:pPr>
              <w:pStyle w:val="MDPI31text"/>
              <w:ind w:left="0"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BE4E97">
              <w:rPr>
                <w:rFonts w:ascii="Arial" w:hAnsi="Arial" w:cs="Arial"/>
                <w:szCs w:val="20"/>
              </w:rPr>
              <w:t>36.33</w:t>
            </w:r>
          </w:p>
        </w:tc>
      </w:tr>
      <w:tr w:rsidR="00BE4E97" w:rsidRPr="00C339F5" w14:paraId="0030016A" w14:textId="77777777" w:rsidTr="00962C49">
        <w:tc>
          <w:tcPr>
            <w:cnfStyle w:val="001000000000" w:firstRow="0" w:lastRow="0" w:firstColumn="1" w:lastColumn="0" w:oddVBand="0" w:evenVBand="0" w:oddHBand="0" w:evenHBand="0" w:firstRowFirstColumn="0" w:firstRowLastColumn="0" w:lastRowFirstColumn="0" w:lastRowLastColumn="0"/>
            <w:tcW w:w="1962" w:type="dxa"/>
            <w:shd w:val="clear" w:color="auto" w:fill="auto"/>
          </w:tcPr>
          <w:p w14:paraId="6CFF4378" w14:textId="77777777" w:rsidR="00BE4E97" w:rsidRPr="00BE4E97" w:rsidRDefault="00BE4E97" w:rsidP="00962C49">
            <w:pPr>
              <w:pStyle w:val="MDPI31text"/>
              <w:ind w:left="0" w:firstLine="0"/>
              <w:jc w:val="center"/>
              <w:rPr>
                <w:rFonts w:ascii="Arial" w:hAnsi="Arial" w:cs="Arial"/>
                <w:b w:val="0"/>
                <w:bCs w:val="0"/>
                <w:szCs w:val="20"/>
              </w:rPr>
            </w:pPr>
            <w:r w:rsidRPr="00BE4E97">
              <w:rPr>
                <w:rFonts w:ascii="Arial" w:hAnsi="Arial" w:cs="Arial"/>
                <w:b w:val="0"/>
                <w:bCs w:val="0"/>
                <w:szCs w:val="20"/>
              </w:rPr>
              <w:t>CO</w:t>
            </w:r>
            <w:r w:rsidRPr="00BE4E97">
              <w:rPr>
                <w:rFonts w:ascii="Arial" w:hAnsi="Arial" w:cs="Arial"/>
                <w:b w:val="0"/>
                <w:bCs w:val="0"/>
                <w:szCs w:val="20"/>
                <w:vertAlign w:val="subscript"/>
              </w:rPr>
              <w:t xml:space="preserve">2 </w:t>
            </w:r>
            <w:r w:rsidRPr="00BE4E97">
              <w:rPr>
                <w:rFonts w:ascii="Arial" w:hAnsi="Arial" w:cs="Arial"/>
                <w:b w:val="0"/>
                <w:bCs w:val="0"/>
                <w:szCs w:val="20"/>
              </w:rPr>
              <w:t>+ [BEHA][Tf</w:t>
            </w:r>
            <w:r w:rsidRPr="00BE4E97">
              <w:rPr>
                <w:rFonts w:ascii="Arial" w:hAnsi="Arial" w:cs="Arial"/>
                <w:b w:val="0"/>
                <w:bCs w:val="0"/>
                <w:szCs w:val="20"/>
                <w:vertAlign w:val="subscript"/>
              </w:rPr>
              <w:t>2</w:t>
            </w:r>
            <w:r w:rsidRPr="00BE4E97">
              <w:rPr>
                <w:rFonts w:ascii="Arial" w:hAnsi="Arial" w:cs="Arial"/>
                <w:b w:val="0"/>
                <w:bCs w:val="0"/>
                <w:szCs w:val="20"/>
              </w:rPr>
              <w:t>N]</w:t>
            </w:r>
          </w:p>
        </w:tc>
        <w:tc>
          <w:tcPr>
            <w:tcW w:w="2370" w:type="dxa"/>
            <w:shd w:val="clear" w:color="auto" w:fill="auto"/>
          </w:tcPr>
          <w:p w14:paraId="17CC4636" w14:textId="77777777" w:rsidR="00BE4E97" w:rsidRPr="00BE4E97" w:rsidRDefault="00BE4E97" w:rsidP="00962C49">
            <w:pPr>
              <w:pStyle w:val="MDPI31text"/>
              <w:ind w:left="0"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BE4E97">
              <w:rPr>
                <w:rFonts w:ascii="Arial" w:hAnsi="Arial" w:cs="Arial"/>
                <w:szCs w:val="20"/>
              </w:rPr>
              <w:t>25.15</w:t>
            </w:r>
          </w:p>
        </w:tc>
        <w:tc>
          <w:tcPr>
            <w:tcW w:w="2370" w:type="dxa"/>
            <w:shd w:val="clear" w:color="auto" w:fill="auto"/>
          </w:tcPr>
          <w:p w14:paraId="12AE4396" w14:textId="77777777" w:rsidR="00BE4E97" w:rsidRPr="00BE4E97" w:rsidRDefault="00BE4E97" w:rsidP="00962C49">
            <w:pPr>
              <w:pStyle w:val="MDPI31text"/>
              <w:ind w:left="0"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BE4E97">
              <w:rPr>
                <w:rFonts w:ascii="Arial" w:hAnsi="Arial" w:cs="Arial"/>
                <w:szCs w:val="20"/>
              </w:rPr>
              <w:t>28.28</w:t>
            </w:r>
          </w:p>
        </w:tc>
        <w:tc>
          <w:tcPr>
            <w:tcW w:w="2370" w:type="dxa"/>
            <w:shd w:val="clear" w:color="auto" w:fill="auto"/>
          </w:tcPr>
          <w:p w14:paraId="42638D49" w14:textId="77777777" w:rsidR="00BE4E97" w:rsidRPr="00BE4E97" w:rsidRDefault="00BE4E97" w:rsidP="00962C49">
            <w:pPr>
              <w:pStyle w:val="MDPI31text"/>
              <w:ind w:left="0"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BE4E97">
              <w:rPr>
                <w:rFonts w:ascii="Arial" w:hAnsi="Arial" w:cs="Arial"/>
                <w:szCs w:val="20"/>
              </w:rPr>
              <w:t>33.87</w:t>
            </w:r>
          </w:p>
        </w:tc>
      </w:tr>
    </w:tbl>
    <w:p w14:paraId="28331862" w14:textId="77777777" w:rsidR="00BE4E97" w:rsidRDefault="00BE4E97" w:rsidP="00EC7B7F">
      <w:pPr>
        <w:spacing w:line="360" w:lineRule="auto"/>
        <w:jc w:val="both"/>
        <w:rPr>
          <w:rFonts w:ascii="Arial" w:hAnsi="Arial" w:cs="Arial"/>
          <w:sz w:val="20"/>
          <w:szCs w:val="20"/>
        </w:rPr>
      </w:pPr>
    </w:p>
    <w:p w14:paraId="59F1AF25" w14:textId="18D11584" w:rsidR="00EC7B7F" w:rsidRPr="00EC7B7F" w:rsidRDefault="00EC7B7F" w:rsidP="00EC7B7F">
      <w:pPr>
        <w:spacing w:line="360" w:lineRule="auto"/>
        <w:jc w:val="both"/>
        <w:rPr>
          <w:rFonts w:ascii="Arial" w:hAnsi="Arial" w:cs="Arial"/>
          <w:sz w:val="20"/>
          <w:szCs w:val="20"/>
        </w:rPr>
      </w:pPr>
      <w:r w:rsidRPr="00EC7B7F">
        <w:rPr>
          <w:rFonts w:ascii="Arial" w:hAnsi="Arial" w:cs="Arial"/>
          <w:sz w:val="20"/>
          <w:szCs w:val="20"/>
        </w:rPr>
        <w:t xml:space="preserve">The enthalpy values ranged from </w:t>
      </w:r>
      <w:r w:rsidR="00C45B4F">
        <w:rPr>
          <w:rFonts w:ascii="Arial" w:hAnsi="Arial" w:cs="Arial"/>
          <w:sz w:val="20"/>
          <w:szCs w:val="20"/>
        </w:rPr>
        <w:t>-</w:t>
      </w:r>
      <w:r w:rsidRPr="00EC7B7F">
        <w:rPr>
          <w:rFonts w:ascii="Arial" w:hAnsi="Arial" w:cs="Arial"/>
          <w:sz w:val="20"/>
          <w:szCs w:val="20"/>
        </w:rPr>
        <w:t xml:space="preserve">3.14 to </w:t>
      </w:r>
      <w:r w:rsidR="00C45B4F">
        <w:rPr>
          <w:rFonts w:ascii="Arial" w:hAnsi="Arial" w:cs="Arial"/>
          <w:sz w:val="20"/>
          <w:szCs w:val="20"/>
        </w:rPr>
        <w:t>-</w:t>
      </w:r>
      <w:r w:rsidRPr="00EC7B7F">
        <w:rPr>
          <w:rFonts w:ascii="Arial" w:hAnsi="Arial" w:cs="Arial"/>
          <w:sz w:val="20"/>
          <w:szCs w:val="20"/>
        </w:rPr>
        <w:t>7.05</w:t>
      </w:r>
      <w:r w:rsidR="00C45B4F">
        <w:rPr>
          <w:rFonts w:ascii="Arial" w:hAnsi="Arial" w:cs="Arial"/>
          <w:sz w:val="20"/>
          <w:szCs w:val="20"/>
        </w:rPr>
        <w:t xml:space="preserve"> </w:t>
      </w:r>
      <w:r w:rsidR="007E6286">
        <w:rPr>
          <w:rFonts w:ascii="Arial" w:hAnsi="Arial" w:cs="Arial"/>
          <w:sz w:val="20"/>
          <w:szCs w:val="20"/>
        </w:rPr>
        <w:t>kJ/mol</w:t>
      </w:r>
      <w:r w:rsidR="007E6286">
        <w:rPr>
          <w:rFonts w:ascii="Roboto" w:hAnsi="Roboto" w:cs="Arial"/>
          <w:sz w:val="20"/>
          <w:szCs w:val="20"/>
        </w:rPr>
        <w:t>·</w:t>
      </w:r>
      <w:r w:rsidR="00681563">
        <w:rPr>
          <w:rFonts w:ascii="Arial" w:hAnsi="Arial" w:cs="Arial"/>
          <w:sz w:val="20"/>
          <w:szCs w:val="20"/>
        </w:rPr>
        <w:t>K</w:t>
      </w:r>
      <w:r w:rsidR="00681563" w:rsidRPr="00EC7B7F">
        <w:rPr>
          <w:rFonts w:ascii="Arial" w:hAnsi="Arial" w:cs="Arial"/>
          <w:sz w:val="20"/>
          <w:szCs w:val="20"/>
        </w:rPr>
        <w:t xml:space="preserve"> </w:t>
      </w:r>
      <w:r w:rsidR="00681563">
        <w:rPr>
          <w:rFonts w:ascii="Arial" w:hAnsi="Arial" w:cs="Arial"/>
          <w:sz w:val="20"/>
          <w:szCs w:val="20"/>
        </w:rPr>
        <w:t>and</w:t>
      </w:r>
      <w:r w:rsidRPr="00EC7B7F">
        <w:rPr>
          <w:rFonts w:ascii="Arial" w:hAnsi="Arial" w:cs="Arial"/>
          <w:sz w:val="20"/>
          <w:szCs w:val="20"/>
        </w:rPr>
        <w:t xml:space="preserve"> the entropy values from </w:t>
      </w:r>
      <w:r w:rsidR="007E6286">
        <w:rPr>
          <w:rFonts w:ascii="Arial" w:hAnsi="Arial" w:cs="Arial"/>
          <w:sz w:val="20"/>
          <w:szCs w:val="20"/>
        </w:rPr>
        <w:t>-</w:t>
      </w:r>
      <w:r w:rsidRPr="00EC7B7F">
        <w:rPr>
          <w:rFonts w:ascii="Arial" w:hAnsi="Arial" w:cs="Arial"/>
          <w:sz w:val="20"/>
          <w:szCs w:val="20"/>
        </w:rPr>
        <w:t xml:space="preserve">10.02 to </w:t>
      </w:r>
      <w:r w:rsidR="007E6286">
        <w:rPr>
          <w:rFonts w:ascii="Arial" w:hAnsi="Arial" w:cs="Arial"/>
          <w:sz w:val="20"/>
          <w:szCs w:val="20"/>
        </w:rPr>
        <w:t>-</w:t>
      </w:r>
      <w:r w:rsidRPr="00EC7B7F">
        <w:rPr>
          <w:rFonts w:ascii="Arial" w:hAnsi="Arial" w:cs="Arial"/>
          <w:sz w:val="20"/>
          <w:szCs w:val="20"/>
        </w:rPr>
        <w:t xml:space="preserve">22.38 </w:t>
      </w:r>
      <w:r w:rsidR="00E90488">
        <w:rPr>
          <w:rFonts w:ascii="Arial" w:hAnsi="Arial" w:cs="Arial"/>
          <w:sz w:val="20"/>
          <w:szCs w:val="20"/>
        </w:rPr>
        <w:t>J/mol</w:t>
      </w:r>
      <w:r w:rsidR="00E90488">
        <w:rPr>
          <w:rFonts w:ascii="Roboto" w:hAnsi="Roboto" w:cs="Arial"/>
          <w:sz w:val="20"/>
          <w:szCs w:val="20"/>
        </w:rPr>
        <w:t>·</w:t>
      </w:r>
      <w:r w:rsidR="00E90488">
        <w:rPr>
          <w:rFonts w:ascii="Arial" w:hAnsi="Arial" w:cs="Arial"/>
          <w:sz w:val="20"/>
          <w:szCs w:val="20"/>
        </w:rPr>
        <w:t>K</w:t>
      </w:r>
      <w:r w:rsidRPr="00EC7B7F">
        <w:rPr>
          <w:rFonts w:ascii="Arial" w:hAnsi="Arial" w:cs="Arial"/>
          <w:sz w:val="20"/>
          <w:szCs w:val="20"/>
        </w:rPr>
        <w:t xml:space="preserve">, indicating that the absorption is exothermic and leads to greater molecular ordering. Among the synthesized </w:t>
      </w:r>
      <w:r w:rsidR="0098568C">
        <w:rPr>
          <w:rFonts w:ascii="Arial" w:hAnsi="Arial" w:cs="Arial"/>
          <w:sz w:val="20"/>
          <w:szCs w:val="20"/>
        </w:rPr>
        <w:t>HPILs</w:t>
      </w:r>
      <w:r w:rsidRPr="00EC7B7F">
        <w:rPr>
          <w:rFonts w:ascii="Arial" w:hAnsi="Arial" w:cs="Arial"/>
          <w:sz w:val="20"/>
          <w:szCs w:val="20"/>
        </w:rPr>
        <w:t>, [BEHA][</w:t>
      </w:r>
      <w:r w:rsidR="00681563" w:rsidRPr="00EC7B7F">
        <w:rPr>
          <w:rFonts w:ascii="Arial" w:hAnsi="Arial" w:cs="Arial"/>
          <w:sz w:val="20"/>
          <w:szCs w:val="20"/>
        </w:rPr>
        <w:t>T</w:t>
      </w:r>
      <w:r w:rsidR="00681563">
        <w:rPr>
          <w:rFonts w:ascii="Arial" w:hAnsi="Arial" w:cs="Arial"/>
          <w:sz w:val="20"/>
          <w:szCs w:val="20"/>
        </w:rPr>
        <w:t>f</w:t>
      </w:r>
      <w:r w:rsidR="00681563">
        <w:rPr>
          <w:rFonts w:ascii="Arial" w:hAnsi="Arial" w:cs="Arial"/>
          <w:sz w:val="20"/>
          <w:szCs w:val="20"/>
          <w:vertAlign w:val="subscript"/>
        </w:rPr>
        <w:t>2</w:t>
      </w:r>
      <w:r w:rsidR="00681563" w:rsidRPr="00EC7B7F">
        <w:rPr>
          <w:rFonts w:ascii="Arial" w:hAnsi="Arial" w:cs="Arial"/>
          <w:sz w:val="20"/>
          <w:szCs w:val="20"/>
        </w:rPr>
        <w:t>N</w:t>
      </w:r>
      <w:r w:rsidRPr="00EC7B7F">
        <w:rPr>
          <w:rFonts w:ascii="Arial" w:hAnsi="Arial" w:cs="Arial"/>
          <w:sz w:val="20"/>
          <w:szCs w:val="20"/>
        </w:rPr>
        <w:t xml:space="preserve">] showed the highest </w:t>
      </w:r>
      <w:r w:rsidR="0098568C">
        <w:rPr>
          <w:rFonts w:ascii="Arial" w:hAnsi="Arial" w:cs="Arial"/>
          <w:sz w:val="20"/>
          <w:szCs w:val="20"/>
        </w:rPr>
        <w:t>CO</w:t>
      </w:r>
      <w:r w:rsidR="0098568C">
        <w:rPr>
          <w:rFonts w:ascii="Arial" w:hAnsi="Arial" w:cs="Arial"/>
          <w:sz w:val="20"/>
          <w:szCs w:val="20"/>
          <w:vertAlign w:val="subscript"/>
        </w:rPr>
        <w:t xml:space="preserve">2 </w:t>
      </w:r>
      <w:r w:rsidRPr="00EC7B7F">
        <w:rPr>
          <w:rFonts w:ascii="Arial" w:hAnsi="Arial" w:cs="Arial"/>
          <w:sz w:val="20"/>
          <w:szCs w:val="20"/>
        </w:rPr>
        <w:t>solubility, followed by [TEA][</w:t>
      </w:r>
      <w:r w:rsidR="00681563" w:rsidRPr="00EC7B7F">
        <w:rPr>
          <w:rFonts w:ascii="Arial" w:hAnsi="Arial" w:cs="Arial"/>
          <w:sz w:val="20"/>
          <w:szCs w:val="20"/>
        </w:rPr>
        <w:t>T</w:t>
      </w:r>
      <w:r w:rsidR="00681563">
        <w:rPr>
          <w:rFonts w:ascii="Arial" w:hAnsi="Arial" w:cs="Arial"/>
          <w:sz w:val="20"/>
          <w:szCs w:val="20"/>
        </w:rPr>
        <w:t>f</w:t>
      </w:r>
      <w:r w:rsidR="00681563">
        <w:rPr>
          <w:rFonts w:ascii="Arial" w:hAnsi="Arial" w:cs="Arial"/>
          <w:sz w:val="20"/>
          <w:szCs w:val="20"/>
          <w:vertAlign w:val="subscript"/>
        </w:rPr>
        <w:t>2</w:t>
      </w:r>
      <w:r w:rsidR="00681563" w:rsidRPr="00EC7B7F">
        <w:rPr>
          <w:rFonts w:ascii="Arial" w:hAnsi="Arial" w:cs="Arial"/>
          <w:sz w:val="20"/>
          <w:szCs w:val="20"/>
        </w:rPr>
        <w:t>N</w:t>
      </w:r>
      <w:r w:rsidRPr="00EC7B7F">
        <w:rPr>
          <w:rFonts w:ascii="Arial" w:hAnsi="Arial" w:cs="Arial"/>
          <w:sz w:val="20"/>
          <w:szCs w:val="20"/>
        </w:rPr>
        <w:t>] and [DEA][</w:t>
      </w:r>
      <w:r w:rsidR="00681563" w:rsidRPr="00EC7B7F">
        <w:rPr>
          <w:rFonts w:ascii="Arial" w:hAnsi="Arial" w:cs="Arial"/>
          <w:sz w:val="20"/>
          <w:szCs w:val="20"/>
        </w:rPr>
        <w:t>T</w:t>
      </w:r>
      <w:r w:rsidR="00681563">
        <w:rPr>
          <w:rFonts w:ascii="Arial" w:hAnsi="Arial" w:cs="Arial"/>
          <w:sz w:val="20"/>
          <w:szCs w:val="20"/>
        </w:rPr>
        <w:t>f</w:t>
      </w:r>
      <w:r w:rsidR="00681563">
        <w:rPr>
          <w:rFonts w:ascii="Arial" w:hAnsi="Arial" w:cs="Arial"/>
          <w:sz w:val="20"/>
          <w:szCs w:val="20"/>
          <w:vertAlign w:val="subscript"/>
        </w:rPr>
        <w:t>2</w:t>
      </w:r>
      <w:r w:rsidR="00681563" w:rsidRPr="00EC7B7F">
        <w:rPr>
          <w:rFonts w:ascii="Arial" w:hAnsi="Arial" w:cs="Arial"/>
          <w:sz w:val="20"/>
          <w:szCs w:val="20"/>
        </w:rPr>
        <w:t>N</w:t>
      </w:r>
      <w:r w:rsidRPr="00EC7B7F">
        <w:rPr>
          <w:rFonts w:ascii="Arial" w:hAnsi="Arial" w:cs="Arial"/>
          <w:sz w:val="20"/>
          <w:szCs w:val="20"/>
        </w:rPr>
        <w:t xml:space="preserve">]. This trend reflects the influence of cation size, where longer alkyl chains provide higher free volume and greater structural flexibility, allowing more </w:t>
      </w:r>
      <w:r w:rsidR="0098568C">
        <w:rPr>
          <w:rFonts w:ascii="Arial" w:hAnsi="Arial" w:cs="Arial"/>
          <w:sz w:val="20"/>
          <w:szCs w:val="20"/>
        </w:rPr>
        <w:t>CO</w:t>
      </w:r>
      <w:r w:rsidR="0098568C">
        <w:rPr>
          <w:rFonts w:ascii="Arial" w:hAnsi="Arial" w:cs="Arial"/>
          <w:sz w:val="20"/>
          <w:szCs w:val="20"/>
          <w:vertAlign w:val="subscript"/>
        </w:rPr>
        <w:t xml:space="preserve">2 </w:t>
      </w:r>
      <w:r w:rsidRPr="00EC7B7F">
        <w:rPr>
          <w:rFonts w:ascii="Arial" w:hAnsi="Arial" w:cs="Arial"/>
          <w:sz w:val="20"/>
          <w:szCs w:val="20"/>
        </w:rPr>
        <w:t>to be accommodated within the liquid structure.</w:t>
      </w:r>
    </w:p>
    <w:p w14:paraId="27D8F19D" w14:textId="64DE3243" w:rsidR="00EC7B7F" w:rsidRDefault="00EC7B7F" w:rsidP="00EC7B7F">
      <w:pPr>
        <w:spacing w:line="360" w:lineRule="auto"/>
        <w:jc w:val="both"/>
        <w:rPr>
          <w:rFonts w:ascii="Arial" w:hAnsi="Arial" w:cs="Arial"/>
          <w:sz w:val="20"/>
          <w:szCs w:val="20"/>
        </w:rPr>
      </w:pPr>
      <w:r w:rsidRPr="00EC7B7F">
        <w:rPr>
          <w:rFonts w:ascii="Arial" w:hAnsi="Arial" w:cs="Arial"/>
          <w:sz w:val="20"/>
          <w:szCs w:val="20"/>
        </w:rPr>
        <w:t>Compared with other reported ionic liquids, [BEHA][</w:t>
      </w:r>
      <w:r w:rsidR="00681563" w:rsidRPr="00EC7B7F">
        <w:rPr>
          <w:rFonts w:ascii="Arial" w:hAnsi="Arial" w:cs="Arial"/>
          <w:sz w:val="20"/>
          <w:szCs w:val="20"/>
        </w:rPr>
        <w:t>T</w:t>
      </w:r>
      <w:r w:rsidR="00681563">
        <w:rPr>
          <w:rFonts w:ascii="Arial" w:hAnsi="Arial" w:cs="Arial"/>
          <w:sz w:val="20"/>
          <w:szCs w:val="20"/>
        </w:rPr>
        <w:t>f</w:t>
      </w:r>
      <w:r w:rsidR="00681563">
        <w:rPr>
          <w:rFonts w:ascii="Arial" w:hAnsi="Arial" w:cs="Arial"/>
          <w:sz w:val="20"/>
          <w:szCs w:val="20"/>
          <w:vertAlign w:val="subscript"/>
        </w:rPr>
        <w:t>2</w:t>
      </w:r>
      <w:r w:rsidR="00681563" w:rsidRPr="00EC7B7F">
        <w:rPr>
          <w:rFonts w:ascii="Arial" w:hAnsi="Arial" w:cs="Arial"/>
          <w:sz w:val="20"/>
          <w:szCs w:val="20"/>
        </w:rPr>
        <w:t>N</w:t>
      </w:r>
      <w:r w:rsidRPr="00EC7B7F">
        <w:rPr>
          <w:rFonts w:ascii="Arial" w:hAnsi="Arial" w:cs="Arial"/>
          <w:sz w:val="20"/>
          <w:szCs w:val="20"/>
        </w:rPr>
        <w:t>] exhibited superior performance. At 298.15K and 20 bar, [BEHA][</w:t>
      </w:r>
      <w:r w:rsidR="00681563" w:rsidRPr="00EC7B7F">
        <w:rPr>
          <w:rFonts w:ascii="Arial" w:hAnsi="Arial" w:cs="Arial"/>
          <w:sz w:val="20"/>
          <w:szCs w:val="20"/>
        </w:rPr>
        <w:t>T</w:t>
      </w:r>
      <w:r w:rsidR="00681563">
        <w:rPr>
          <w:rFonts w:ascii="Arial" w:hAnsi="Arial" w:cs="Arial"/>
          <w:sz w:val="20"/>
          <w:szCs w:val="20"/>
        </w:rPr>
        <w:t>f</w:t>
      </w:r>
      <w:r w:rsidR="00681563">
        <w:rPr>
          <w:rFonts w:ascii="Arial" w:hAnsi="Arial" w:cs="Arial"/>
          <w:sz w:val="20"/>
          <w:szCs w:val="20"/>
          <w:vertAlign w:val="subscript"/>
        </w:rPr>
        <w:t>2</w:t>
      </w:r>
      <w:r w:rsidR="00681563" w:rsidRPr="00EC7B7F">
        <w:rPr>
          <w:rFonts w:ascii="Arial" w:hAnsi="Arial" w:cs="Arial"/>
          <w:sz w:val="20"/>
          <w:szCs w:val="20"/>
        </w:rPr>
        <w:t>N</w:t>
      </w:r>
      <w:r w:rsidRPr="00EC7B7F">
        <w:rPr>
          <w:rFonts w:ascii="Arial" w:hAnsi="Arial" w:cs="Arial"/>
          <w:sz w:val="20"/>
          <w:szCs w:val="20"/>
        </w:rPr>
        <w:t xml:space="preserve">] achieved a </w:t>
      </w:r>
      <w:r w:rsidR="0098568C">
        <w:rPr>
          <w:rFonts w:ascii="Arial" w:hAnsi="Arial" w:cs="Arial"/>
          <w:sz w:val="20"/>
          <w:szCs w:val="20"/>
        </w:rPr>
        <w:t>CO</w:t>
      </w:r>
      <w:r w:rsidR="0098568C">
        <w:rPr>
          <w:rFonts w:ascii="Arial" w:hAnsi="Arial" w:cs="Arial"/>
          <w:sz w:val="20"/>
          <w:szCs w:val="20"/>
          <w:vertAlign w:val="subscript"/>
        </w:rPr>
        <w:t xml:space="preserve">2 </w:t>
      </w:r>
      <w:r w:rsidRPr="00EC7B7F">
        <w:rPr>
          <w:rFonts w:ascii="Arial" w:hAnsi="Arial" w:cs="Arial"/>
          <w:sz w:val="20"/>
          <w:szCs w:val="20"/>
        </w:rPr>
        <w:t>mole fraction of 0.5766, which is higher than that of the imidazolium-based [HMIM][</w:t>
      </w:r>
      <w:r w:rsidR="00681563" w:rsidRPr="00EC7B7F">
        <w:rPr>
          <w:rFonts w:ascii="Arial" w:hAnsi="Arial" w:cs="Arial"/>
          <w:sz w:val="20"/>
          <w:szCs w:val="20"/>
        </w:rPr>
        <w:t>T</w:t>
      </w:r>
      <w:r w:rsidR="00681563">
        <w:rPr>
          <w:rFonts w:ascii="Arial" w:hAnsi="Arial" w:cs="Arial"/>
          <w:sz w:val="20"/>
          <w:szCs w:val="20"/>
        </w:rPr>
        <w:t>f</w:t>
      </w:r>
      <w:r w:rsidR="00681563">
        <w:rPr>
          <w:rFonts w:ascii="Arial" w:hAnsi="Arial" w:cs="Arial"/>
          <w:sz w:val="20"/>
          <w:szCs w:val="20"/>
          <w:vertAlign w:val="subscript"/>
        </w:rPr>
        <w:t>2</w:t>
      </w:r>
      <w:r w:rsidR="00681563" w:rsidRPr="00EC7B7F">
        <w:rPr>
          <w:rFonts w:ascii="Arial" w:hAnsi="Arial" w:cs="Arial"/>
          <w:sz w:val="20"/>
          <w:szCs w:val="20"/>
        </w:rPr>
        <w:t>N</w:t>
      </w:r>
      <w:r w:rsidRPr="00EC7B7F">
        <w:rPr>
          <w:rFonts w:ascii="Arial" w:hAnsi="Arial" w:cs="Arial"/>
          <w:sz w:val="20"/>
          <w:szCs w:val="20"/>
        </w:rPr>
        <w:t>] with 0.415 and the ammonium analogues [BEHA][BA] with 0.4860 and [BEHA][AC] with 0.4320. The enhanced solubility is attributed to the weakly coordinating and highly fluorinated [</w:t>
      </w:r>
      <w:r w:rsidR="00064D82" w:rsidRPr="00EC7B7F">
        <w:rPr>
          <w:rFonts w:ascii="Arial" w:hAnsi="Arial" w:cs="Arial"/>
          <w:sz w:val="20"/>
          <w:szCs w:val="20"/>
        </w:rPr>
        <w:t>T</w:t>
      </w:r>
      <w:r w:rsidR="00064D82">
        <w:rPr>
          <w:rFonts w:ascii="Arial" w:hAnsi="Arial" w:cs="Arial"/>
          <w:sz w:val="20"/>
          <w:szCs w:val="20"/>
        </w:rPr>
        <w:t>f</w:t>
      </w:r>
      <w:r w:rsidR="00064D82">
        <w:rPr>
          <w:rFonts w:ascii="Arial" w:hAnsi="Arial" w:cs="Arial"/>
          <w:sz w:val="20"/>
          <w:szCs w:val="20"/>
          <w:vertAlign w:val="subscript"/>
        </w:rPr>
        <w:t>2</w:t>
      </w:r>
      <w:r w:rsidR="00064D82" w:rsidRPr="00EC7B7F">
        <w:rPr>
          <w:rFonts w:ascii="Arial" w:hAnsi="Arial" w:cs="Arial"/>
          <w:sz w:val="20"/>
          <w:szCs w:val="20"/>
        </w:rPr>
        <w:t>N</w:t>
      </w:r>
      <w:r w:rsidRPr="00EC7B7F">
        <w:rPr>
          <w:rFonts w:ascii="Arial" w:hAnsi="Arial" w:cs="Arial"/>
          <w:sz w:val="20"/>
          <w:szCs w:val="20"/>
        </w:rPr>
        <w:t xml:space="preserve">] anion that stabilizes </w:t>
      </w:r>
      <w:r w:rsidR="0098568C">
        <w:rPr>
          <w:rFonts w:ascii="Arial" w:hAnsi="Arial" w:cs="Arial"/>
          <w:sz w:val="20"/>
          <w:szCs w:val="20"/>
        </w:rPr>
        <w:t>CO</w:t>
      </w:r>
      <w:r w:rsidR="0098568C">
        <w:rPr>
          <w:rFonts w:ascii="Arial" w:hAnsi="Arial" w:cs="Arial"/>
          <w:sz w:val="20"/>
          <w:szCs w:val="20"/>
          <w:vertAlign w:val="subscript"/>
        </w:rPr>
        <w:t xml:space="preserve">2 </w:t>
      </w:r>
      <w:r w:rsidRPr="00EC7B7F">
        <w:rPr>
          <w:rFonts w:ascii="Arial" w:hAnsi="Arial" w:cs="Arial"/>
          <w:sz w:val="20"/>
          <w:szCs w:val="20"/>
        </w:rPr>
        <w:t xml:space="preserve">through dipole–quadrupole interactions and the flexible ammonium cation that increases the available free volume. The combination of these two effects results in a synergistic improvement in </w:t>
      </w:r>
      <w:r w:rsidR="0098568C">
        <w:rPr>
          <w:rFonts w:ascii="Arial" w:hAnsi="Arial" w:cs="Arial"/>
          <w:sz w:val="20"/>
          <w:szCs w:val="20"/>
        </w:rPr>
        <w:t>CO</w:t>
      </w:r>
      <w:r w:rsidR="0098568C">
        <w:rPr>
          <w:rFonts w:ascii="Arial" w:hAnsi="Arial" w:cs="Arial"/>
          <w:sz w:val="20"/>
          <w:szCs w:val="20"/>
          <w:vertAlign w:val="subscript"/>
        </w:rPr>
        <w:t xml:space="preserve">2 </w:t>
      </w:r>
      <w:r w:rsidRPr="00EC7B7F">
        <w:rPr>
          <w:rFonts w:ascii="Arial" w:hAnsi="Arial" w:cs="Arial"/>
          <w:sz w:val="20"/>
          <w:szCs w:val="20"/>
        </w:rPr>
        <w:t>absorption, demonstrating the potential of [</w:t>
      </w:r>
      <w:r w:rsidR="00064D82" w:rsidRPr="00EC7B7F">
        <w:rPr>
          <w:rFonts w:ascii="Arial" w:hAnsi="Arial" w:cs="Arial"/>
          <w:sz w:val="20"/>
          <w:szCs w:val="20"/>
        </w:rPr>
        <w:t>T</w:t>
      </w:r>
      <w:r w:rsidR="00064D82">
        <w:rPr>
          <w:rFonts w:ascii="Arial" w:hAnsi="Arial" w:cs="Arial"/>
          <w:sz w:val="20"/>
          <w:szCs w:val="20"/>
        </w:rPr>
        <w:t>f</w:t>
      </w:r>
      <w:r w:rsidR="00064D82">
        <w:rPr>
          <w:rFonts w:ascii="Arial" w:hAnsi="Arial" w:cs="Arial"/>
          <w:sz w:val="20"/>
          <w:szCs w:val="20"/>
          <w:vertAlign w:val="subscript"/>
        </w:rPr>
        <w:t>2</w:t>
      </w:r>
      <w:r w:rsidR="00064D82" w:rsidRPr="00EC7B7F">
        <w:rPr>
          <w:rFonts w:ascii="Arial" w:hAnsi="Arial" w:cs="Arial"/>
          <w:sz w:val="20"/>
          <w:szCs w:val="20"/>
        </w:rPr>
        <w:t>N</w:t>
      </w:r>
      <w:r w:rsidRPr="00EC7B7F">
        <w:rPr>
          <w:rFonts w:ascii="Arial" w:hAnsi="Arial" w:cs="Arial"/>
          <w:sz w:val="20"/>
          <w:szCs w:val="20"/>
        </w:rPr>
        <w:t xml:space="preserve">]-based </w:t>
      </w:r>
      <w:r w:rsidR="0098568C">
        <w:rPr>
          <w:rFonts w:ascii="Arial" w:hAnsi="Arial" w:cs="Arial"/>
          <w:sz w:val="20"/>
          <w:szCs w:val="20"/>
        </w:rPr>
        <w:t>HPILs</w:t>
      </w:r>
      <w:r w:rsidRPr="00EC7B7F">
        <w:rPr>
          <w:rFonts w:ascii="Arial" w:hAnsi="Arial" w:cs="Arial"/>
          <w:sz w:val="20"/>
          <w:szCs w:val="20"/>
        </w:rPr>
        <w:t xml:space="preserve"> as efficient and regenerable physical absorbents for </w:t>
      </w:r>
      <w:r w:rsidR="0098568C">
        <w:rPr>
          <w:rFonts w:ascii="Arial" w:hAnsi="Arial" w:cs="Arial"/>
          <w:sz w:val="20"/>
          <w:szCs w:val="20"/>
        </w:rPr>
        <w:t>CO</w:t>
      </w:r>
      <w:r w:rsidR="0098568C">
        <w:rPr>
          <w:rFonts w:ascii="Arial" w:hAnsi="Arial" w:cs="Arial"/>
          <w:sz w:val="20"/>
          <w:szCs w:val="20"/>
          <w:vertAlign w:val="subscript"/>
        </w:rPr>
        <w:t xml:space="preserve">2 </w:t>
      </w:r>
      <w:r w:rsidRPr="00EC7B7F">
        <w:rPr>
          <w:rFonts w:ascii="Arial" w:hAnsi="Arial" w:cs="Arial"/>
          <w:sz w:val="20"/>
          <w:szCs w:val="20"/>
        </w:rPr>
        <w:t>capture under mild conditions.</w:t>
      </w:r>
    </w:p>
    <w:p w14:paraId="0493EB78" w14:textId="1ADB7923" w:rsidR="00E847BD" w:rsidRDefault="00E847BD" w:rsidP="00EC7B7F">
      <w:pPr>
        <w:spacing w:line="360" w:lineRule="auto"/>
        <w:jc w:val="both"/>
        <w:rPr>
          <w:rFonts w:ascii="Arial" w:hAnsi="Arial" w:cs="Arial"/>
          <w:sz w:val="20"/>
          <w:szCs w:val="20"/>
        </w:rPr>
      </w:pPr>
      <w:r w:rsidRPr="00E847BD">
        <w:rPr>
          <w:rFonts w:ascii="Arial" w:hAnsi="Arial" w:cs="Arial"/>
          <w:sz w:val="20"/>
          <w:szCs w:val="20"/>
        </w:rPr>
        <w:t xml:space="preserve">The absorption mechanism was further investigated using FTIR and </w:t>
      </w:r>
      <w:r w:rsidR="00064D82">
        <w:rPr>
          <w:rFonts w:ascii="Arial" w:hAnsi="Arial" w:cs="Arial"/>
          <w:sz w:val="20"/>
          <w:szCs w:val="20"/>
          <w:vertAlign w:val="superscript"/>
        </w:rPr>
        <w:t>13</w:t>
      </w:r>
      <w:r w:rsidRPr="00E847BD">
        <w:rPr>
          <w:rFonts w:ascii="Arial" w:hAnsi="Arial" w:cs="Arial"/>
          <w:sz w:val="20"/>
          <w:szCs w:val="20"/>
        </w:rPr>
        <w:t>C NMR spectroscopy. For [BEHA][</w:t>
      </w:r>
      <w:r w:rsidR="00064D82" w:rsidRPr="00EC7B7F">
        <w:rPr>
          <w:rFonts w:ascii="Arial" w:hAnsi="Arial" w:cs="Arial"/>
          <w:sz w:val="20"/>
          <w:szCs w:val="20"/>
        </w:rPr>
        <w:t>T</w:t>
      </w:r>
      <w:r w:rsidR="00064D82">
        <w:rPr>
          <w:rFonts w:ascii="Arial" w:hAnsi="Arial" w:cs="Arial"/>
          <w:sz w:val="20"/>
          <w:szCs w:val="20"/>
        </w:rPr>
        <w:t>f</w:t>
      </w:r>
      <w:r w:rsidR="00064D82">
        <w:rPr>
          <w:rFonts w:ascii="Arial" w:hAnsi="Arial" w:cs="Arial"/>
          <w:sz w:val="20"/>
          <w:szCs w:val="20"/>
          <w:vertAlign w:val="subscript"/>
        </w:rPr>
        <w:t>2</w:t>
      </w:r>
      <w:r w:rsidR="00064D82" w:rsidRPr="00EC7B7F">
        <w:rPr>
          <w:rFonts w:ascii="Arial" w:hAnsi="Arial" w:cs="Arial"/>
          <w:sz w:val="20"/>
          <w:szCs w:val="20"/>
        </w:rPr>
        <w:t>N</w:t>
      </w:r>
      <w:r w:rsidRPr="00E847BD">
        <w:rPr>
          <w:rFonts w:ascii="Arial" w:hAnsi="Arial" w:cs="Arial"/>
          <w:sz w:val="20"/>
          <w:szCs w:val="20"/>
        </w:rPr>
        <w:t xml:space="preserve">], no new carbon signals appeared in the </w:t>
      </w:r>
      <w:r w:rsidR="00064D82">
        <w:rPr>
          <w:rFonts w:ascii="Arial" w:hAnsi="Arial" w:cs="Arial"/>
          <w:sz w:val="20"/>
          <w:szCs w:val="20"/>
          <w:vertAlign w:val="superscript"/>
        </w:rPr>
        <w:t>13</w:t>
      </w:r>
      <w:r w:rsidRPr="00E847BD">
        <w:rPr>
          <w:rFonts w:ascii="Arial" w:hAnsi="Arial" w:cs="Arial"/>
          <w:sz w:val="20"/>
          <w:szCs w:val="20"/>
        </w:rPr>
        <w:t xml:space="preserve">C NMR spectrum after exposure to </w:t>
      </w:r>
      <w:r w:rsidR="0098568C">
        <w:rPr>
          <w:rFonts w:ascii="Arial" w:hAnsi="Arial" w:cs="Arial"/>
          <w:sz w:val="20"/>
          <w:szCs w:val="20"/>
        </w:rPr>
        <w:t>CO</w:t>
      </w:r>
      <w:r w:rsidR="0098568C">
        <w:rPr>
          <w:rFonts w:ascii="Arial" w:hAnsi="Arial" w:cs="Arial"/>
          <w:sz w:val="20"/>
          <w:szCs w:val="20"/>
          <w:vertAlign w:val="subscript"/>
        </w:rPr>
        <w:t>2</w:t>
      </w:r>
      <w:r w:rsidRPr="00E847BD">
        <w:rPr>
          <w:rFonts w:ascii="Arial" w:hAnsi="Arial" w:cs="Arial"/>
          <w:sz w:val="20"/>
          <w:szCs w:val="20"/>
        </w:rPr>
        <w:t>, confirming the absence of chemical interaction. FTIR spectra before and after absorption were nearly identical, except for a new band at 2337 to 2339 cm</w:t>
      </w:r>
      <w:r w:rsidR="00E371B1">
        <w:rPr>
          <w:rFonts w:ascii="Arial" w:hAnsi="Arial" w:cs="Arial"/>
          <w:sz w:val="20"/>
          <w:szCs w:val="20"/>
          <w:vertAlign w:val="superscript"/>
        </w:rPr>
        <w:t>-1</w:t>
      </w:r>
      <w:r w:rsidRPr="00E847BD">
        <w:rPr>
          <w:rFonts w:ascii="Arial" w:hAnsi="Arial" w:cs="Arial"/>
          <w:sz w:val="20"/>
          <w:szCs w:val="20"/>
        </w:rPr>
        <w:t xml:space="preserve"> corresponding to the O=C=O stretching vibration of </w:t>
      </w:r>
      <w:r w:rsidR="0098568C">
        <w:rPr>
          <w:rFonts w:ascii="Arial" w:hAnsi="Arial" w:cs="Arial"/>
          <w:sz w:val="20"/>
          <w:szCs w:val="20"/>
        </w:rPr>
        <w:t>CO</w:t>
      </w:r>
      <w:r w:rsidR="0098568C">
        <w:rPr>
          <w:rFonts w:ascii="Arial" w:hAnsi="Arial" w:cs="Arial"/>
          <w:sz w:val="20"/>
          <w:szCs w:val="20"/>
          <w:vertAlign w:val="subscript"/>
        </w:rPr>
        <w:t>2</w:t>
      </w:r>
      <w:r w:rsidRPr="00E847BD">
        <w:rPr>
          <w:rFonts w:ascii="Arial" w:hAnsi="Arial" w:cs="Arial"/>
          <w:sz w:val="20"/>
          <w:szCs w:val="20"/>
        </w:rPr>
        <w:t>. No bands were observed near 1700 cm</w:t>
      </w:r>
      <w:r w:rsidR="00E371B1">
        <w:rPr>
          <w:rFonts w:ascii="Arial" w:hAnsi="Arial" w:cs="Arial"/>
          <w:sz w:val="20"/>
          <w:szCs w:val="20"/>
          <w:vertAlign w:val="superscript"/>
        </w:rPr>
        <w:t>-1</w:t>
      </w:r>
      <w:r w:rsidRPr="00E847BD">
        <w:rPr>
          <w:rFonts w:ascii="Arial" w:hAnsi="Arial" w:cs="Arial"/>
          <w:sz w:val="20"/>
          <w:szCs w:val="20"/>
        </w:rPr>
        <w:t xml:space="preserve">, where carbamate formation would typically occur. These results confirm that </w:t>
      </w:r>
      <w:r w:rsidR="00E371B1">
        <w:rPr>
          <w:rFonts w:ascii="Arial" w:hAnsi="Arial" w:cs="Arial"/>
          <w:sz w:val="20"/>
          <w:szCs w:val="20"/>
        </w:rPr>
        <w:t>CO</w:t>
      </w:r>
      <w:r w:rsidR="00E371B1">
        <w:rPr>
          <w:rFonts w:ascii="Arial" w:hAnsi="Arial" w:cs="Arial"/>
          <w:sz w:val="20"/>
          <w:szCs w:val="20"/>
          <w:vertAlign w:val="subscript"/>
        </w:rPr>
        <w:t>2</w:t>
      </w:r>
      <w:r w:rsidR="00E371B1">
        <w:rPr>
          <w:rFonts w:ascii="Arial" w:hAnsi="Arial" w:cs="Arial"/>
          <w:sz w:val="20"/>
          <w:szCs w:val="20"/>
        </w:rPr>
        <w:t xml:space="preserve"> </w:t>
      </w:r>
      <w:r w:rsidRPr="00E847BD">
        <w:rPr>
          <w:rFonts w:ascii="Arial" w:hAnsi="Arial" w:cs="Arial"/>
          <w:sz w:val="20"/>
          <w:szCs w:val="20"/>
        </w:rPr>
        <w:t xml:space="preserve">uptake by the three </w:t>
      </w:r>
      <w:r w:rsidR="00E371B1">
        <w:rPr>
          <w:rFonts w:ascii="Arial" w:hAnsi="Arial" w:cs="Arial"/>
          <w:sz w:val="20"/>
          <w:szCs w:val="20"/>
        </w:rPr>
        <w:t>HPILs</w:t>
      </w:r>
      <w:r w:rsidRPr="00E847BD">
        <w:rPr>
          <w:rFonts w:ascii="Arial" w:hAnsi="Arial" w:cs="Arial"/>
          <w:sz w:val="20"/>
          <w:szCs w:val="20"/>
        </w:rPr>
        <w:t xml:space="preserve"> proceeds through a physical absorption mechanism.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F35633" w14:paraId="15CD1FC6" w14:textId="77777777" w:rsidTr="00F35633">
        <w:tc>
          <w:tcPr>
            <w:tcW w:w="4530" w:type="dxa"/>
            <w:vAlign w:val="center"/>
          </w:tcPr>
          <w:p w14:paraId="2ED4BE4A" w14:textId="77777777" w:rsidR="00F35633" w:rsidRDefault="00F35633" w:rsidP="00F35633">
            <w:pPr>
              <w:spacing w:line="360" w:lineRule="auto"/>
              <w:jc w:val="center"/>
              <w:rPr>
                <w:rFonts w:ascii="Arial" w:hAnsi="Arial" w:cs="Arial"/>
                <w:sz w:val="20"/>
                <w:szCs w:val="20"/>
              </w:rPr>
            </w:pPr>
            <w:r w:rsidRPr="00535624">
              <w:rPr>
                <w:noProof/>
              </w:rPr>
              <w:drawing>
                <wp:inline distT="0" distB="0" distL="0" distR="0" wp14:anchorId="3280D7C8" wp14:editId="19F9E78B">
                  <wp:extent cx="2465801" cy="1719943"/>
                  <wp:effectExtent l="0" t="0" r="0" b="0"/>
                  <wp:docPr id="1390244176" name="Picture 1" descr="A graph with black dots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44176" name="Picture 1" descr="A graph with black dots and white text&#10;&#10;Description automatically generated"/>
                          <pic:cNvPicPr/>
                        </pic:nvPicPr>
                        <pic:blipFill rotWithShape="1">
                          <a:blip r:embed="rId9"/>
                          <a:srcRect l="3117" t="3140" r="1123" b="2646"/>
                          <a:stretch/>
                        </pic:blipFill>
                        <pic:spPr bwMode="auto">
                          <a:xfrm>
                            <a:off x="0" y="0"/>
                            <a:ext cx="2499427" cy="1743398"/>
                          </a:xfrm>
                          <a:prstGeom prst="rect">
                            <a:avLst/>
                          </a:prstGeom>
                          <a:ln>
                            <a:noFill/>
                          </a:ln>
                          <a:extLst>
                            <a:ext uri="{53640926-AAD7-44D8-BBD7-CCE9431645EC}">
                              <a14:shadowObscured xmlns:a14="http://schemas.microsoft.com/office/drawing/2010/main"/>
                            </a:ext>
                          </a:extLst>
                        </pic:spPr>
                      </pic:pic>
                    </a:graphicData>
                  </a:graphic>
                </wp:inline>
              </w:drawing>
            </w:r>
          </w:p>
        </w:tc>
        <w:tc>
          <w:tcPr>
            <w:tcW w:w="4530" w:type="dxa"/>
            <w:vAlign w:val="center"/>
          </w:tcPr>
          <w:p w14:paraId="3294E976" w14:textId="77777777" w:rsidR="00F35633" w:rsidRDefault="00F35633" w:rsidP="00F35633">
            <w:pPr>
              <w:spacing w:line="360" w:lineRule="auto"/>
              <w:jc w:val="center"/>
              <w:rPr>
                <w:rFonts w:ascii="Arial" w:hAnsi="Arial" w:cs="Arial"/>
                <w:sz w:val="20"/>
                <w:szCs w:val="20"/>
              </w:rPr>
            </w:pPr>
            <w:r w:rsidRPr="0054622E">
              <w:rPr>
                <w:noProof/>
              </w:rPr>
              <w:drawing>
                <wp:inline distT="0" distB="0" distL="0" distR="0" wp14:anchorId="0187AC4A" wp14:editId="60D818F1">
                  <wp:extent cx="2500220" cy="1741714"/>
                  <wp:effectExtent l="0" t="0" r="0" b="0"/>
                  <wp:docPr id="737472378" name="Picture 1" descr="A graph with black dots and cros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72378" name="Picture 1" descr="A graph with black dots and crosses&#10;&#10;Description automatically generated"/>
                          <pic:cNvPicPr/>
                        </pic:nvPicPr>
                        <pic:blipFill rotWithShape="1">
                          <a:blip r:embed="rId10"/>
                          <a:srcRect l="2449" t="3455" r="1354" b="2024"/>
                          <a:stretch/>
                        </pic:blipFill>
                        <pic:spPr bwMode="auto">
                          <a:xfrm>
                            <a:off x="0" y="0"/>
                            <a:ext cx="2524513" cy="1758637"/>
                          </a:xfrm>
                          <a:prstGeom prst="rect">
                            <a:avLst/>
                          </a:prstGeom>
                          <a:ln>
                            <a:noFill/>
                          </a:ln>
                          <a:extLst>
                            <a:ext uri="{53640926-AAD7-44D8-BBD7-CCE9431645EC}">
                              <a14:shadowObscured xmlns:a14="http://schemas.microsoft.com/office/drawing/2010/main"/>
                            </a:ext>
                          </a:extLst>
                        </pic:spPr>
                      </pic:pic>
                    </a:graphicData>
                  </a:graphic>
                </wp:inline>
              </w:drawing>
            </w:r>
          </w:p>
        </w:tc>
      </w:tr>
      <w:tr w:rsidR="00F35633" w14:paraId="51A1427F" w14:textId="77777777" w:rsidTr="00B4674C">
        <w:trPr>
          <w:trHeight w:val="373"/>
        </w:trPr>
        <w:tc>
          <w:tcPr>
            <w:tcW w:w="4530" w:type="dxa"/>
            <w:vAlign w:val="center"/>
          </w:tcPr>
          <w:p w14:paraId="7948A27A" w14:textId="4EE3B6FF" w:rsidR="00F35633" w:rsidRPr="00F35633" w:rsidRDefault="00F35633" w:rsidP="00F35633">
            <w:pPr>
              <w:spacing w:line="360" w:lineRule="auto"/>
              <w:jc w:val="center"/>
              <w:rPr>
                <w:rFonts w:ascii="Arial" w:hAnsi="Arial" w:cs="Arial"/>
                <w:b/>
                <w:bCs/>
                <w:sz w:val="20"/>
                <w:szCs w:val="20"/>
              </w:rPr>
            </w:pPr>
            <w:r w:rsidRPr="00F35633">
              <w:rPr>
                <w:rFonts w:ascii="Arial" w:hAnsi="Arial" w:cs="Arial"/>
                <w:b/>
                <w:bCs/>
                <w:sz w:val="20"/>
                <w:szCs w:val="20"/>
              </w:rPr>
              <w:t>(a)</w:t>
            </w:r>
          </w:p>
        </w:tc>
        <w:tc>
          <w:tcPr>
            <w:tcW w:w="4530" w:type="dxa"/>
            <w:vAlign w:val="center"/>
          </w:tcPr>
          <w:p w14:paraId="728E2152" w14:textId="1D719A5A" w:rsidR="00F35633" w:rsidRPr="00F35633" w:rsidRDefault="00F35633" w:rsidP="00F35633">
            <w:pPr>
              <w:spacing w:line="360" w:lineRule="auto"/>
              <w:jc w:val="center"/>
              <w:rPr>
                <w:rFonts w:ascii="Arial" w:hAnsi="Arial" w:cs="Arial"/>
                <w:b/>
                <w:bCs/>
                <w:sz w:val="20"/>
                <w:szCs w:val="20"/>
              </w:rPr>
            </w:pPr>
            <w:r w:rsidRPr="00F35633">
              <w:rPr>
                <w:rFonts w:ascii="Arial" w:hAnsi="Arial" w:cs="Arial"/>
                <w:b/>
                <w:bCs/>
                <w:sz w:val="20"/>
                <w:szCs w:val="20"/>
              </w:rPr>
              <w:t>(b)</w:t>
            </w:r>
          </w:p>
        </w:tc>
      </w:tr>
    </w:tbl>
    <w:p w14:paraId="4F0E6B3D" w14:textId="153DC40B" w:rsidR="00B1481A" w:rsidRPr="00405EC1" w:rsidRDefault="00405EC1" w:rsidP="00B1481A">
      <w:pPr>
        <w:spacing w:line="360" w:lineRule="auto"/>
        <w:jc w:val="both"/>
        <w:rPr>
          <w:rFonts w:ascii="Arial" w:hAnsi="Arial" w:cs="Arial"/>
          <w:b/>
          <w:bCs/>
          <w:sz w:val="20"/>
          <w:szCs w:val="20"/>
        </w:rPr>
      </w:pPr>
      <w:r>
        <w:rPr>
          <w:rFonts w:ascii="Arial" w:hAnsi="Arial" w:cs="Arial"/>
          <w:b/>
          <w:bCs/>
          <w:sz w:val="20"/>
          <w:szCs w:val="20"/>
        </w:rPr>
        <w:t xml:space="preserve">3.5 </w:t>
      </w:r>
      <w:r w:rsidR="00B1481A" w:rsidRPr="00B1481A">
        <w:rPr>
          <w:rFonts w:ascii="Arial" w:hAnsi="Arial" w:cs="Arial"/>
          <w:b/>
          <w:bCs/>
          <w:sz w:val="20"/>
          <w:szCs w:val="20"/>
        </w:rPr>
        <w:t>Recyclability</w:t>
      </w:r>
      <w:r>
        <w:rPr>
          <w:rFonts w:ascii="Arial" w:hAnsi="Arial" w:cs="Arial"/>
          <w:b/>
          <w:bCs/>
          <w:sz w:val="20"/>
          <w:szCs w:val="20"/>
        </w:rPr>
        <w:t xml:space="preserve"> Performance of [BEHA][Tf</w:t>
      </w:r>
      <w:r>
        <w:rPr>
          <w:rFonts w:ascii="Arial" w:hAnsi="Arial" w:cs="Arial"/>
          <w:b/>
          <w:bCs/>
          <w:sz w:val="20"/>
          <w:szCs w:val="20"/>
          <w:vertAlign w:val="subscript"/>
        </w:rPr>
        <w:t>2</w:t>
      </w:r>
      <w:r>
        <w:rPr>
          <w:rFonts w:ascii="Arial" w:hAnsi="Arial" w:cs="Arial"/>
          <w:b/>
          <w:bCs/>
          <w:sz w:val="20"/>
          <w:szCs w:val="20"/>
        </w:rPr>
        <w:t>N]</w:t>
      </w:r>
    </w:p>
    <w:p w14:paraId="14B1F5E4" w14:textId="157909B6" w:rsidR="00CB1755" w:rsidRDefault="00CB1755" w:rsidP="00B1481A">
      <w:pPr>
        <w:spacing w:line="360" w:lineRule="auto"/>
        <w:jc w:val="both"/>
        <w:rPr>
          <w:rFonts w:ascii="Arial" w:hAnsi="Arial" w:cs="Arial"/>
          <w:sz w:val="20"/>
          <w:szCs w:val="20"/>
        </w:rPr>
      </w:pPr>
      <w:r w:rsidRPr="00CB1755">
        <w:rPr>
          <w:rFonts w:ascii="Arial" w:hAnsi="Arial" w:cs="Arial"/>
          <w:sz w:val="20"/>
          <w:szCs w:val="20"/>
        </w:rPr>
        <w:lastRenderedPageBreak/>
        <w:t>The recyclability of [BEHA][T</w:t>
      </w:r>
      <w:r w:rsidRPr="00F97F79">
        <w:rPr>
          <w:rFonts w:ascii="Arial" w:hAnsi="Arial" w:cs="Arial"/>
          <w:sz w:val="20"/>
          <w:szCs w:val="20"/>
        </w:rPr>
        <w:t>f</w:t>
      </w:r>
      <w:r w:rsidR="00F97F79" w:rsidRPr="00F97F79">
        <w:rPr>
          <w:rFonts w:ascii="Arial" w:hAnsi="Arial" w:cs="Arial"/>
          <w:sz w:val="20"/>
          <w:szCs w:val="20"/>
          <w:vertAlign w:val="subscript"/>
        </w:rPr>
        <w:t>2</w:t>
      </w:r>
      <w:r w:rsidR="00F97F79" w:rsidRPr="00F97F79">
        <w:rPr>
          <w:rFonts w:ascii="Arial" w:hAnsi="Arial" w:cs="Arial"/>
          <w:sz w:val="20"/>
          <w:szCs w:val="20"/>
        </w:rPr>
        <w:t>N</w:t>
      </w:r>
      <w:r w:rsidRPr="00CB1755">
        <w:rPr>
          <w:rFonts w:ascii="Arial" w:hAnsi="Arial" w:cs="Arial"/>
          <w:sz w:val="20"/>
          <w:szCs w:val="20"/>
        </w:rPr>
        <w:t>] was evaluated to assess its stability and reusability for C</w:t>
      </w:r>
      <w:r w:rsidR="00F97F79">
        <w:rPr>
          <w:rFonts w:ascii="Arial" w:hAnsi="Arial" w:cs="Arial"/>
          <w:sz w:val="20"/>
          <w:szCs w:val="20"/>
        </w:rPr>
        <w:t>O</w:t>
      </w:r>
      <w:r w:rsidR="00F97F79">
        <w:rPr>
          <w:rFonts w:ascii="Arial" w:hAnsi="Arial" w:cs="Arial"/>
          <w:sz w:val="20"/>
          <w:szCs w:val="20"/>
          <w:vertAlign w:val="subscript"/>
        </w:rPr>
        <w:t>2</w:t>
      </w:r>
      <w:r w:rsidRPr="00CB1755">
        <w:rPr>
          <w:rFonts w:ascii="Arial" w:hAnsi="Arial" w:cs="Arial"/>
          <w:sz w:val="20"/>
          <w:szCs w:val="20"/>
        </w:rPr>
        <w:t xml:space="preserve"> capture. As shown in </w:t>
      </w:r>
      <w:r w:rsidRPr="003C5CA9">
        <w:rPr>
          <w:rFonts w:ascii="Arial" w:hAnsi="Arial" w:cs="Arial"/>
          <w:b/>
          <w:bCs/>
          <w:sz w:val="20"/>
          <w:szCs w:val="20"/>
          <w:highlight w:val="yellow"/>
        </w:rPr>
        <w:t xml:space="preserve">Figure </w:t>
      </w:r>
      <w:r w:rsidR="003C5CA9" w:rsidRPr="003C5CA9">
        <w:rPr>
          <w:rFonts w:ascii="Arial" w:hAnsi="Arial" w:cs="Arial"/>
          <w:b/>
          <w:bCs/>
          <w:sz w:val="20"/>
          <w:szCs w:val="20"/>
          <w:highlight w:val="yellow"/>
        </w:rPr>
        <w:t>X</w:t>
      </w:r>
      <w:r w:rsidRPr="00CB1755">
        <w:rPr>
          <w:rFonts w:ascii="Arial" w:hAnsi="Arial" w:cs="Arial"/>
          <w:sz w:val="20"/>
          <w:szCs w:val="20"/>
        </w:rPr>
        <w:t xml:space="preserve">, only minimal variations in </w:t>
      </w:r>
      <w:r w:rsidR="00F97F79" w:rsidRPr="00CB1755">
        <w:rPr>
          <w:rFonts w:ascii="Arial" w:hAnsi="Arial" w:cs="Arial"/>
          <w:sz w:val="20"/>
          <w:szCs w:val="20"/>
        </w:rPr>
        <w:t>C</w:t>
      </w:r>
      <w:r w:rsidR="00F97F79">
        <w:rPr>
          <w:rFonts w:ascii="Arial" w:hAnsi="Arial" w:cs="Arial"/>
          <w:sz w:val="20"/>
          <w:szCs w:val="20"/>
        </w:rPr>
        <w:t>O</w:t>
      </w:r>
      <w:r w:rsidR="00F97F79">
        <w:rPr>
          <w:rFonts w:ascii="Arial" w:hAnsi="Arial" w:cs="Arial"/>
          <w:sz w:val="20"/>
          <w:szCs w:val="20"/>
          <w:vertAlign w:val="subscript"/>
        </w:rPr>
        <w:t xml:space="preserve">2 </w:t>
      </w:r>
      <w:r w:rsidRPr="00CB1755">
        <w:rPr>
          <w:rFonts w:ascii="Arial" w:hAnsi="Arial" w:cs="Arial"/>
          <w:sz w:val="20"/>
          <w:szCs w:val="20"/>
        </w:rPr>
        <w:t xml:space="preserve">uptake were observed between two consecutive absorption–desorption cycles at 298.15, 313.15, and 333.15K, demonstrating consistent performance. FTIR and </w:t>
      </w:r>
      <w:r w:rsidR="00F97F79">
        <w:rPr>
          <w:rFonts w:ascii="Arial" w:hAnsi="Arial" w:cs="Arial"/>
          <w:sz w:val="20"/>
          <w:szCs w:val="20"/>
          <w:vertAlign w:val="superscript"/>
        </w:rPr>
        <w:t>1</w:t>
      </w:r>
      <w:r w:rsidRPr="00CB1755">
        <w:rPr>
          <w:rFonts w:ascii="Arial" w:hAnsi="Arial" w:cs="Arial"/>
          <w:sz w:val="20"/>
          <w:szCs w:val="20"/>
        </w:rPr>
        <w:t xml:space="preserve">H NMR analyses after desorption </w:t>
      </w:r>
      <w:r w:rsidRPr="00B0382C">
        <w:rPr>
          <w:rFonts w:ascii="Arial" w:hAnsi="Arial" w:cs="Arial"/>
          <w:b/>
          <w:bCs/>
          <w:sz w:val="20"/>
          <w:szCs w:val="20"/>
          <w:highlight w:val="yellow"/>
        </w:rPr>
        <w:t xml:space="preserve">Figure </w:t>
      </w:r>
      <w:r w:rsidR="00B0382C" w:rsidRPr="00B0382C">
        <w:rPr>
          <w:rFonts w:ascii="Arial" w:hAnsi="Arial" w:cs="Arial"/>
          <w:b/>
          <w:bCs/>
          <w:sz w:val="20"/>
          <w:szCs w:val="20"/>
          <w:highlight w:val="yellow"/>
        </w:rPr>
        <w:t>X</w:t>
      </w:r>
      <w:r w:rsidRPr="00CB1755">
        <w:rPr>
          <w:rFonts w:ascii="Arial" w:hAnsi="Arial" w:cs="Arial"/>
          <w:sz w:val="20"/>
          <w:szCs w:val="20"/>
        </w:rPr>
        <w:t xml:space="preserve"> revealed no detectable changes in spectral features compared to the fresh sample, confirming that the molecular structure of </w:t>
      </w:r>
      <w:r w:rsidR="00F97F79" w:rsidRPr="00CB1755">
        <w:rPr>
          <w:rFonts w:ascii="Arial" w:hAnsi="Arial" w:cs="Arial"/>
          <w:sz w:val="20"/>
          <w:szCs w:val="20"/>
        </w:rPr>
        <w:t>[BEHA][T</w:t>
      </w:r>
      <w:r w:rsidR="00F97F79" w:rsidRPr="00F97F79">
        <w:rPr>
          <w:rFonts w:ascii="Arial" w:hAnsi="Arial" w:cs="Arial"/>
          <w:sz w:val="20"/>
          <w:szCs w:val="20"/>
        </w:rPr>
        <w:t>f</w:t>
      </w:r>
      <w:r w:rsidR="00F97F79" w:rsidRPr="00F97F79">
        <w:rPr>
          <w:rFonts w:ascii="Arial" w:hAnsi="Arial" w:cs="Arial"/>
          <w:sz w:val="20"/>
          <w:szCs w:val="20"/>
          <w:vertAlign w:val="subscript"/>
        </w:rPr>
        <w:t>2</w:t>
      </w:r>
      <w:r w:rsidR="00F97F79" w:rsidRPr="00F97F79">
        <w:rPr>
          <w:rFonts w:ascii="Arial" w:hAnsi="Arial" w:cs="Arial"/>
          <w:sz w:val="20"/>
          <w:szCs w:val="20"/>
        </w:rPr>
        <w:t>N</w:t>
      </w:r>
      <w:r w:rsidR="00F97F79" w:rsidRPr="00CB1755">
        <w:rPr>
          <w:rFonts w:ascii="Arial" w:hAnsi="Arial" w:cs="Arial"/>
          <w:sz w:val="20"/>
          <w:szCs w:val="20"/>
        </w:rPr>
        <w:t>]</w:t>
      </w:r>
      <w:r w:rsidR="00F97F79">
        <w:rPr>
          <w:rFonts w:ascii="Arial" w:hAnsi="Arial" w:cs="Arial"/>
          <w:sz w:val="20"/>
          <w:szCs w:val="20"/>
        </w:rPr>
        <w:t xml:space="preserve"> </w:t>
      </w:r>
      <w:r w:rsidRPr="00CB1755">
        <w:rPr>
          <w:rFonts w:ascii="Arial" w:hAnsi="Arial" w:cs="Arial"/>
          <w:sz w:val="20"/>
          <w:szCs w:val="20"/>
        </w:rPr>
        <w:t xml:space="preserve">remained intact. These results indicate that </w:t>
      </w:r>
      <w:r w:rsidR="00F97F79" w:rsidRPr="00CB1755">
        <w:rPr>
          <w:rFonts w:ascii="Arial" w:hAnsi="Arial" w:cs="Arial"/>
          <w:sz w:val="20"/>
          <w:szCs w:val="20"/>
        </w:rPr>
        <w:t>[BEHA][T</w:t>
      </w:r>
      <w:r w:rsidR="00F97F79" w:rsidRPr="00F97F79">
        <w:rPr>
          <w:rFonts w:ascii="Arial" w:hAnsi="Arial" w:cs="Arial"/>
          <w:sz w:val="20"/>
          <w:szCs w:val="20"/>
        </w:rPr>
        <w:t>f</w:t>
      </w:r>
      <w:r w:rsidR="00F97F79" w:rsidRPr="00F97F79">
        <w:rPr>
          <w:rFonts w:ascii="Arial" w:hAnsi="Arial" w:cs="Arial"/>
          <w:sz w:val="20"/>
          <w:szCs w:val="20"/>
          <w:vertAlign w:val="subscript"/>
        </w:rPr>
        <w:t>2</w:t>
      </w:r>
      <w:r w:rsidR="00F97F79" w:rsidRPr="00F97F79">
        <w:rPr>
          <w:rFonts w:ascii="Arial" w:hAnsi="Arial" w:cs="Arial"/>
          <w:sz w:val="20"/>
          <w:szCs w:val="20"/>
        </w:rPr>
        <w:t>N</w:t>
      </w:r>
      <w:r w:rsidR="00F97F79" w:rsidRPr="00CB1755">
        <w:rPr>
          <w:rFonts w:ascii="Arial" w:hAnsi="Arial" w:cs="Arial"/>
          <w:sz w:val="20"/>
          <w:szCs w:val="20"/>
        </w:rPr>
        <w:t>]</w:t>
      </w:r>
      <w:r w:rsidR="00F97F79">
        <w:rPr>
          <w:rFonts w:ascii="Arial" w:hAnsi="Arial" w:cs="Arial"/>
          <w:sz w:val="20"/>
          <w:szCs w:val="20"/>
        </w:rPr>
        <w:t xml:space="preserve"> </w:t>
      </w:r>
      <w:r w:rsidRPr="00CB1755">
        <w:rPr>
          <w:rFonts w:ascii="Arial" w:hAnsi="Arial" w:cs="Arial"/>
          <w:sz w:val="20"/>
          <w:szCs w:val="20"/>
        </w:rPr>
        <w:t xml:space="preserve">exhibits excellent thermal and chemical stability, making it suitable for repeated </w:t>
      </w:r>
      <w:r w:rsidR="00F97F79" w:rsidRPr="00CB1755">
        <w:rPr>
          <w:rFonts w:ascii="Arial" w:hAnsi="Arial" w:cs="Arial"/>
          <w:sz w:val="20"/>
          <w:szCs w:val="20"/>
        </w:rPr>
        <w:t>C</w:t>
      </w:r>
      <w:r w:rsidR="00F97F79">
        <w:rPr>
          <w:rFonts w:ascii="Arial" w:hAnsi="Arial" w:cs="Arial"/>
          <w:sz w:val="20"/>
          <w:szCs w:val="20"/>
        </w:rPr>
        <w:t>O</w:t>
      </w:r>
      <w:r w:rsidR="00F97F79">
        <w:rPr>
          <w:rFonts w:ascii="Arial" w:hAnsi="Arial" w:cs="Arial"/>
          <w:sz w:val="20"/>
          <w:szCs w:val="20"/>
          <w:vertAlign w:val="subscript"/>
        </w:rPr>
        <w:t xml:space="preserve">2 </w:t>
      </w:r>
      <w:r w:rsidRPr="00CB1755">
        <w:rPr>
          <w:rFonts w:ascii="Arial" w:hAnsi="Arial" w:cs="Arial"/>
          <w:sz w:val="20"/>
          <w:szCs w:val="20"/>
        </w:rPr>
        <w:t>capture applications.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0664EB" w14:paraId="6F92A0BE" w14:textId="77777777" w:rsidTr="00886222">
        <w:tc>
          <w:tcPr>
            <w:tcW w:w="4530" w:type="dxa"/>
            <w:vAlign w:val="center"/>
          </w:tcPr>
          <w:p w14:paraId="1FAF7460" w14:textId="57D0C010" w:rsidR="000664EB" w:rsidRDefault="000664EB" w:rsidP="007E4582">
            <w:pPr>
              <w:spacing w:line="360" w:lineRule="auto"/>
              <w:jc w:val="center"/>
              <w:rPr>
                <w:rFonts w:ascii="Arial" w:hAnsi="Arial" w:cs="Arial"/>
                <w:sz w:val="20"/>
                <w:szCs w:val="20"/>
              </w:rPr>
            </w:pPr>
            <w:r w:rsidRPr="00F11BDD">
              <w:rPr>
                <w:noProof/>
              </w:rPr>
              <w:drawing>
                <wp:inline distT="0" distB="0" distL="0" distR="0" wp14:anchorId="7E6515D4" wp14:editId="07035510">
                  <wp:extent cx="2672345" cy="1828800"/>
                  <wp:effectExtent l="0" t="0" r="0" b="0"/>
                  <wp:docPr id="1665494382" name="Picture 1" descr="A graph of different sizes and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94382" name="Picture 1" descr="A graph of different sizes and colors&#10;&#10;Description automatically generated with medium confidence"/>
                          <pic:cNvPicPr/>
                        </pic:nvPicPr>
                        <pic:blipFill rotWithShape="1">
                          <a:blip r:embed="rId11"/>
                          <a:srcRect l="2193" t="4995" r="1694" b="2228"/>
                          <a:stretch/>
                        </pic:blipFill>
                        <pic:spPr bwMode="auto">
                          <a:xfrm>
                            <a:off x="0" y="0"/>
                            <a:ext cx="2687188" cy="1838958"/>
                          </a:xfrm>
                          <a:prstGeom prst="rect">
                            <a:avLst/>
                          </a:prstGeom>
                          <a:ln>
                            <a:noFill/>
                          </a:ln>
                          <a:extLst>
                            <a:ext uri="{53640926-AAD7-44D8-BBD7-CCE9431645EC}">
                              <a14:shadowObscured xmlns:a14="http://schemas.microsoft.com/office/drawing/2010/main"/>
                            </a:ext>
                          </a:extLst>
                        </pic:spPr>
                      </pic:pic>
                    </a:graphicData>
                  </a:graphic>
                </wp:inline>
              </w:drawing>
            </w:r>
          </w:p>
        </w:tc>
        <w:tc>
          <w:tcPr>
            <w:tcW w:w="4530" w:type="dxa"/>
            <w:vAlign w:val="center"/>
          </w:tcPr>
          <w:p w14:paraId="291040CC" w14:textId="36358BA5" w:rsidR="000664EB" w:rsidRDefault="00886222" w:rsidP="007E4582">
            <w:pPr>
              <w:spacing w:line="360" w:lineRule="auto"/>
              <w:jc w:val="center"/>
              <w:rPr>
                <w:rFonts w:ascii="Arial" w:hAnsi="Arial" w:cs="Arial"/>
                <w:sz w:val="20"/>
                <w:szCs w:val="20"/>
              </w:rPr>
            </w:pPr>
            <w:r w:rsidRPr="00092CEC">
              <w:rPr>
                <w:bCs/>
                <w:noProof/>
              </w:rPr>
              <w:drawing>
                <wp:inline distT="0" distB="0" distL="0" distR="0" wp14:anchorId="3F3B0944" wp14:editId="4C6B75CA">
                  <wp:extent cx="2623346" cy="1932778"/>
                  <wp:effectExtent l="0" t="0" r="5715" b="0"/>
                  <wp:docPr id="113415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56505" name=""/>
                          <pic:cNvPicPr/>
                        </pic:nvPicPr>
                        <pic:blipFill>
                          <a:blip r:embed="rId12"/>
                          <a:stretch>
                            <a:fillRect/>
                          </a:stretch>
                        </pic:blipFill>
                        <pic:spPr>
                          <a:xfrm>
                            <a:off x="0" y="0"/>
                            <a:ext cx="2644357" cy="1948258"/>
                          </a:xfrm>
                          <a:prstGeom prst="rect">
                            <a:avLst/>
                          </a:prstGeom>
                        </pic:spPr>
                      </pic:pic>
                    </a:graphicData>
                  </a:graphic>
                </wp:inline>
              </w:drawing>
            </w:r>
          </w:p>
        </w:tc>
      </w:tr>
      <w:tr w:rsidR="000664EB" w14:paraId="0A9CE8D8" w14:textId="77777777" w:rsidTr="00886222">
        <w:tc>
          <w:tcPr>
            <w:tcW w:w="4530" w:type="dxa"/>
          </w:tcPr>
          <w:p w14:paraId="672D9E48" w14:textId="5EE988C9" w:rsidR="000664EB" w:rsidRPr="000664EB" w:rsidRDefault="000664EB" w:rsidP="000664EB">
            <w:pPr>
              <w:spacing w:line="360" w:lineRule="auto"/>
              <w:jc w:val="center"/>
              <w:rPr>
                <w:rFonts w:ascii="Arial" w:hAnsi="Arial" w:cs="Arial"/>
                <w:b/>
                <w:bCs/>
                <w:sz w:val="20"/>
                <w:szCs w:val="20"/>
              </w:rPr>
            </w:pPr>
            <w:r w:rsidRPr="000664EB">
              <w:rPr>
                <w:rFonts w:ascii="Arial" w:hAnsi="Arial" w:cs="Arial"/>
                <w:b/>
                <w:bCs/>
                <w:sz w:val="20"/>
                <w:szCs w:val="20"/>
              </w:rPr>
              <w:t>(a)</w:t>
            </w:r>
          </w:p>
        </w:tc>
        <w:tc>
          <w:tcPr>
            <w:tcW w:w="4530" w:type="dxa"/>
          </w:tcPr>
          <w:p w14:paraId="5C1E1F20" w14:textId="6691EA11" w:rsidR="000664EB" w:rsidRPr="00B4674C" w:rsidRDefault="00B4674C" w:rsidP="000664EB">
            <w:pPr>
              <w:spacing w:line="360" w:lineRule="auto"/>
              <w:jc w:val="center"/>
              <w:rPr>
                <w:rFonts w:ascii="Arial" w:hAnsi="Arial" w:cs="Arial"/>
                <w:b/>
                <w:bCs/>
                <w:sz w:val="20"/>
                <w:szCs w:val="20"/>
              </w:rPr>
            </w:pPr>
            <w:r w:rsidRPr="00B4674C">
              <w:rPr>
                <w:rFonts w:ascii="Arial" w:hAnsi="Arial" w:cs="Arial"/>
                <w:b/>
                <w:bCs/>
                <w:sz w:val="20"/>
                <w:szCs w:val="20"/>
              </w:rPr>
              <w:t>(b)</w:t>
            </w:r>
          </w:p>
        </w:tc>
      </w:tr>
    </w:tbl>
    <w:p w14:paraId="7845DA87" w14:textId="21879688" w:rsidR="00B3502A" w:rsidRDefault="00B3502A" w:rsidP="000664EB">
      <w:pPr>
        <w:spacing w:line="360" w:lineRule="auto"/>
        <w:rPr>
          <w:rFonts w:ascii="Arial" w:hAnsi="Arial" w:cs="Arial"/>
          <w:sz w:val="20"/>
          <w:szCs w:val="20"/>
        </w:rPr>
      </w:pPr>
    </w:p>
    <w:p w14:paraId="61BA8E94" w14:textId="0168D80D" w:rsidR="00535385" w:rsidRPr="00797CB2" w:rsidRDefault="00535385" w:rsidP="00B1481A">
      <w:pPr>
        <w:spacing w:line="360" w:lineRule="auto"/>
        <w:jc w:val="both"/>
        <w:rPr>
          <w:rFonts w:ascii="Arial" w:hAnsi="Arial" w:cs="Arial"/>
          <w:b/>
          <w:bCs/>
          <w:sz w:val="20"/>
          <w:szCs w:val="20"/>
        </w:rPr>
      </w:pPr>
      <w:r w:rsidRPr="00797CB2">
        <w:rPr>
          <w:rFonts w:ascii="Arial" w:hAnsi="Arial" w:cs="Arial"/>
          <w:b/>
          <w:bCs/>
          <w:sz w:val="20"/>
          <w:szCs w:val="20"/>
        </w:rPr>
        <w:t>Conclusion</w:t>
      </w:r>
    </w:p>
    <w:p w14:paraId="3DFFDBFD" w14:textId="384F8BAD" w:rsidR="00535385" w:rsidRPr="00B1481A" w:rsidRDefault="00535385" w:rsidP="00B1481A">
      <w:pPr>
        <w:spacing w:line="360" w:lineRule="auto"/>
        <w:jc w:val="both"/>
        <w:rPr>
          <w:rFonts w:ascii="Arial" w:hAnsi="Arial" w:cs="Arial"/>
          <w:sz w:val="20"/>
          <w:szCs w:val="20"/>
          <w:lang w:val="en-US"/>
        </w:rPr>
      </w:pPr>
      <w:r w:rsidRPr="00535385">
        <w:rPr>
          <w:rFonts w:ascii="Arial" w:hAnsi="Arial" w:cs="Arial"/>
          <w:sz w:val="20"/>
          <w:szCs w:val="20"/>
          <w:lang w:val="en-US"/>
        </w:rPr>
        <w:t>In conclusion, three HPILs were successfully synthesized, characterized, and evaluated for their CO</w:t>
      </w:r>
      <w:r w:rsidRPr="00797CB2">
        <w:rPr>
          <w:rFonts w:ascii="Arial" w:hAnsi="Arial" w:cs="Arial"/>
          <w:sz w:val="20"/>
          <w:szCs w:val="20"/>
          <w:vertAlign w:val="subscript"/>
          <w:lang w:val="en-US"/>
        </w:rPr>
        <w:t xml:space="preserve">2 </w:t>
      </w:r>
      <w:r w:rsidRPr="00535385">
        <w:rPr>
          <w:rFonts w:ascii="Arial" w:hAnsi="Arial" w:cs="Arial"/>
          <w:sz w:val="20"/>
          <w:szCs w:val="20"/>
          <w:lang w:val="en-US"/>
        </w:rPr>
        <w:t>absorption performance at different temperatures which are 298.15, 313.15, and 333.15K and pressures up to 20 bar. The CO</w:t>
      </w:r>
      <w:r w:rsidRPr="00797CB2">
        <w:rPr>
          <w:rFonts w:ascii="Arial" w:hAnsi="Arial" w:cs="Arial"/>
          <w:sz w:val="20"/>
          <w:szCs w:val="20"/>
          <w:vertAlign w:val="subscript"/>
          <w:lang w:val="en-US"/>
        </w:rPr>
        <w:t>2</w:t>
      </w:r>
      <w:r w:rsidRPr="00535385">
        <w:rPr>
          <w:rFonts w:ascii="Arial" w:hAnsi="Arial" w:cs="Arial"/>
          <w:sz w:val="20"/>
          <w:szCs w:val="20"/>
          <w:lang w:val="en-US"/>
        </w:rPr>
        <w:t xml:space="preserve"> solubility in all studied ionic liquids increased with pressure, while a negative correlation with temperature was observed. The alkyl chain length of the cation showed a pronounced effect on CO</w:t>
      </w:r>
      <w:r w:rsidRPr="00797CB2">
        <w:rPr>
          <w:rFonts w:ascii="Arial" w:hAnsi="Arial" w:cs="Arial"/>
          <w:sz w:val="20"/>
          <w:szCs w:val="20"/>
          <w:vertAlign w:val="subscript"/>
          <w:lang w:val="en-US"/>
        </w:rPr>
        <w:t>2</w:t>
      </w:r>
      <w:r w:rsidRPr="00535385">
        <w:rPr>
          <w:rFonts w:ascii="Arial" w:hAnsi="Arial" w:cs="Arial"/>
          <w:sz w:val="20"/>
          <w:szCs w:val="20"/>
          <w:lang w:val="en-US"/>
        </w:rPr>
        <w:t xml:space="preserve"> absorption capacity, attributed to the increase in free volume (V</w:t>
      </w:r>
      <w:r w:rsidRPr="00797CB2">
        <w:rPr>
          <w:rFonts w:ascii="Arial" w:hAnsi="Arial" w:cs="Arial"/>
          <w:sz w:val="20"/>
          <w:szCs w:val="20"/>
          <w:vertAlign w:val="subscript"/>
          <w:lang w:val="en-US"/>
        </w:rPr>
        <w:t>f</w:t>
      </w:r>
      <w:r w:rsidRPr="00535385">
        <w:rPr>
          <w:rFonts w:ascii="Arial" w:hAnsi="Arial" w:cs="Arial"/>
          <w:sz w:val="20"/>
          <w:szCs w:val="20"/>
          <w:lang w:val="en-US"/>
        </w:rPr>
        <w:t>). In addition,</w:t>
      </w:r>
      <w:r w:rsidR="0077648C">
        <w:rPr>
          <w:rFonts w:ascii="Arial" w:hAnsi="Arial" w:cs="Arial"/>
          <w:sz w:val="20"/>
          <w:szCs w:val="20"/>
          <w:lang w:val="en-US"/>
        </w:rPr>
        <w:t xml:space="preserve"> r</w:t>
      </w:r>
      <w:r w:rsidRPr="00535385">
        <w:rPr>
          <w:rFonts w:ascii="Arial" w:hAnsi="Arial" w:cs="Arial"/>
          <w:sz w:val="20"/>
          <w:szCs w:val="20"/>
          <w:lang w:val="en-US"/>
        </w:rPr>
        <w:t>ecyclability tests conducted for [BEHA][Tf</w:t>
      </w:r>
      <w:r w:rsidRPr="00797CB2">
        <w:rPr>
          <w:rFonts w:ascii="Arial" w:hAnsi="Arial" w:cs="Arial"/>
          <w:sz w:val="20"/>
          <w:szCs w:val="20"/>
          <w:vertAlign w:val="subscript"/>
          <w:lang w:val="en-US"/>
        </w:rPr>
        <w:t>2</w:t>
      </w:r>
      <w:r w:rsidRPr="00535385">
        <w:rPr>
          <w:rFonts w:ascii="Arial" w:hAnsi="Arial" w:cs="Arial"/>
          <w:sz w:val="20"/>
          <w:szCs w:val="20"/>
          <w:lang w:val="en-US"/>
        </w:rPr>
        <w:t>N] at all temperatures over two consecutive cycles revealed consistent CO</w:t>
      </w:r>
      <w:r w:rsidRPr="00797CB2">
        <w:rPr>
          <w:rFonts w:ascii="Arial" w:hAnsi="Arial" w:cs="Arial"/>
          <w:sz w:val="20"/>
          <w:szCs w:val="20"/>
          <w:vertAlign w:val="subscript"/>
          <w:lang w:val="en-US"/>
        </w:rPr>
        <w:t>2</w:t>
      </w:r>
      <w:r w:rsidRPr="00535385">
        <w:rPr>
          <w:rFonts w:ascii="Arial" w:hAnsi="Arial" w:cs="Arial"/>
          <w:sz w:val="20"/>
          <w:szCs w:val="20"/>
          <w:lang w:val="en-US"/>
        </w:rPr>
        <w:t xml:space="preserve"> uptake and excellent structural stability, indicating that this ionic liquid is a promising alternative to conventional amine-based solvents such as MEA for CO</w:t>
      </w:r>
      <w:r w:rsidRPr="00797CB2">
        <w:rPr>
          <w:rFonts w:ascii="Arial" w:hAnsi="Arial" w:cs="Arial"/>
          <w:sz w:val="20"/>
          <w:szCs w:val="20"/>
          <w:vertAlign w:val="subscript"/>
          <w:lang w:val="en-US"/>
        </w:rPr>
        <w:t>2</w:t>
      </w:r>
      <w:r w:rsidRPr="00535385">
        <w:rPr>
          <w:rFonts w:ascii="Arial" w:hAnsi="Arial" w:cs="Arial"/>
          <w:sz w:val="20"/>
          <w:szCs w:val="20"/>
          <w:lang w:val="en-US"/>
        </w:rPr>
        <w:t xml:space="preserve"> capture applications.</w:t>
      </w:r>
    </w:p>
    <w:p w14:paraId="348FA686" w14:textId="115DA918" w:rsidR="0083566E" w:rsidRDefault="007E1D3B" w:rsidP="003D0A81">
      <w:pPr>
        <w:spacing w:line="360" w:lineRule="auto"/>
        <w:jc w:val="both"/>
        <w:rPr>
          <w:rFonts w:ascii="Arial" w:hAnsi="Arial" w:cs="Arial"/>
          <w:b/>
          <w:bCs/>
          <w:sz w:val="20"/>
          <w:szCs w:val="20"/>
        </w:rPr>
      </w:pPr>
      <w:r>
        <w:rPr>
          <w:rFonts w:ascii="Arial" w:hAnsi="Arial" w:cs="Arial"/>
          <w:b/>
          <w:bCs/>
          <w:sz w:val="20"/>
          <w:szCs w:val="20"/>
        </w:rPr>
        <w:t>Acknowledgment</w:t>
      </w:r>
      <w:r w:rsidR="006C2F0A">
        <w:rPr>
          <w:rFonts w:ascii="Arial" w:hAnsi="Arial" w:cs="Arial"/>
          <w:b/>
          <w:bCs/>
          <w:sz w:val="20"/>
          <w:szCs w:val="20"/>
        </w:rPr>
        <w:t xml:space="preserve">: </w:t>
      </w:r>
      <w:r w:rsidR="006C2F0A" w:rsidRPr="006C2F0A">
        <w:rPr>
          <w:rFonts w:ascii="Arial" w:hAnsi="Arial" w:cs="Arial"/>
          <w:sz w:val="20"/>
          <w:szCs w:val="20"/>
          <w:lang w:val="en-US"/>
        </w:rPr>
        <w:t>The authors would like to acknowledge the Yayasan Universiti Teknologi</w:t>
      </w:r>
      <w:r w:rsidR="006C2F0A">
        <w:rPr>
          <w:rFonts w:ascii="Arial" w:hAnsi="Arial" w:cs="Arial"/>
          <w:sz w:val="20"/>
          <w:szCs w:val="20"/>
          <w:lang w:val="en-US"/>
        </w:rPr>
        <w:t xml:space="preserve"> </w:t>
      </w:r>
      <w:r w:rsidR="006C2F0A" w:rsidRPr="006C2F0A">
        <w:rPr>
          <w:rFonts w:ascii="Arial" w:hAnsi="Arial" w:cs="Arial"/>
          <w:sz w:val="20"/>
          <w:szCs w:val="20"/>
          <w:lang w:val="en-US"/>
        </w:rPr>
        <w:t>PETRONAS (YUTP), for providing financial assistance under YUTP-FRG (015LC0-436), Universiti Teknologi PETRONAS and Centre for Research in Ionic Liquid (CORIL) for providing required assistance in completing the work.</w:t>
      </w:r>
    </w:p>
    <w:p w14:paraId="5ACA15AD" w14:textId="24092A70" w:rsidR="007E1D3B" w:rsidRPr="00C11FEA" w:rsidRDefault="007E1D3B" w:rsidP="003D0A81">
      <w:pPr>
        <w:spacing w:line="360" w:lineRule="auto"/>
        <w:jc w:val="both"/>
        <w:rPr>
          <w:rFonts w:ascii="Arial" w:hAnsi="Arial" w:cs="Arial"/>
          <w:b/>
          <w:bCs/>
          <w:sz w:val="20"/>
          <w:szCs w:val="20"/>
        </w:rPr>
      </w:pPr>
      <w:r>
        <w:rPr>
          <w:rFonts w:ascii="Arial" w:hAnsi="Arial" w:cs="Arial"/>
          <w:b/>
          <w:bCs/>
          <w:sz w:val="20"/>
          <w:szCs w:val="20"/>
        </w:rPr>
        <w:t>References</w:t>
      </w:r>
    </w:p>
    <w:sectPr w:rsidR="007E1D3B" w:rsidRPr="00C11FEA" w:rsidSect="008E0468">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9B8"/>
    <w:rsid w:val="0001653F"/>
    <w:rsid w:val="00022C2C"/>
    <w:rsid w:val="0002337A"/>
    <w:rsid w:val="00033C33"/>
    <w:rsid w:val="0004776F"/>
    <w:rsid w:val="00064D82"/>
    <w:rsid w:val="000664EB"/>
    <w:rsid w:val="00081B12"/>
    <w:rsid w:val="000A11E0"/>
    <w:rsid w:val="000A7D08"/>
    <w:rsid w:val="000B4BAB"/>
    <w:rsid w:val="000C1C6F"/>
    <w:rsid w:val="00100187"/>
    <w:rsid w:val="00111E01"/>
    <w:rsid w:val="00113694"/>
    <w:rsid w:val="00125D14"/>
    <w:rsid w:val="001556DD"/>
    <w:rsid w:val="00182CD9"/>
    <w:rsid w:val="001857C0"/>
    <w:rsid w:val="00186228"/>
    <w:rsid w:val="001C3B84"/>
    <w:rsid w:val="001D000D"/>
    <w:rsid w:val="001F617B"/>
    <w:rsid w:val="00201FA6"/>
    <w:rsid w:val="00215576"/>
    <w:rsid w:val="002378D2"/>
    <w:rsid w:val="00241ED7"/>
    <w:rsid w:val="00243ADF"/>
    <w:rsid w:val="002469FA"/>
    <w:rsid w:val="00261A62"/>
    <w:rsid w:val="00267703"/>
    <w:rsid w:val="0028671B"/>
    <w:rsid w:val="002C39AC"/>
    <w:rsid w:val="002D4302"/>
    <w:rsid w:val="002E5845"/>
    <w:rsid w:val="002F2A36"/>
    <w:rsid w:val="00324F59"/>
    <w:rsid w:val="003541CF"/>
    <w:rsid w:val="00354842"/>
    <w:rsid w:val="0035524F"/>
    <w:rsid w:val="003864CE"/>
    <w:rsid w:val="003A14E9"/>
    <w:rsid w:val="003A1EAF"/>
    <w:rsid w:val="003B7629"/>
    <w:rsid w:val="003C0102"/>
    <w:rsid w:val="003C5CA9"/>
    <w:rsid w:val="003D0A81"/>
    <w:rsid w:val="00405EC1"/>
    <w:rsid w:val="00417298"/>
    <w:rsid w:val="00434C0C"/>
    <w:rsid w:val="004501B5"/>
    <w:rsid w:val="00455F99"/>
    <w:rsid w:val="004A5361"/>
    <w:rsid w:val="004B1680"/>
    <w:rsid w:val="004E24A7"/>
    <w:rsid w:val="004E5455"/>
    <w:rsid w:val="005018BF"/>
    <w:rsid w:val="00504859"/>
    <w:rsid w:val="005155DA"/>
    <w:rsid w:val="00516DB6"/>
    <w:rsid w:val="0052258B"/>
    <w:rsid w:val="00534C34"/>
    <w:rsid w:val="00535385"/>
    <w:rsid w:val="00536499"/>
    <w:rsid w:val="0057777B"/>
    <w:rsid w:val="005A0A82"/>
    <w:rsid w:val="005A7C3B"/>
    <w:rsid w:val="005C3EAC"/>
    <w:rsid w:val="005C4913"/>
    <w:rsid w:val="006006B1"/>
    <w:rsid w:val="00604199"/>
    <w:rsid w:val="0062285A"/>
    <w:rsid w:val="00632E89"/>
    <w:rsid w:val="00653750"/>
    <w:rsid w:val="00681563"/>
    <w:rsid w:val="006B0C62"/>
    <w:rsid w:val="006C2F0A"/>
    <w:rsid w:val="006F6F89"/>
    <w:rsid w:val="00722E08"/>
    <w:rsid w:val="00723400"/>
    <w:rsid w:val="00754C49"/>
    <w:rsid w:val="0077648C"/>
    <w:rsid w:val="00797CB2"/>
    <w:rsid w:val="007A18F7"/>
    <w:rsid w:val="007A6123"/>
    <w:rsid w:val="007B63B3"/>
    <w:rsid w:val="007C3352"/>
    <w:rsid w:val="007D4517"/>
    <w:rsid w:val="007E1D3B"/>
    <w:rsid w:val="007E4582"/>
    <w:rsid w:val="007E6286"/>
    <w:rsid w:val="00803692"/>
    <w:rsid w:val="00807BF0"/>
    <w:rsid w:val="00812DE7"/>
    <w:rsid w:val="00825BCD"/>
    <w:rsid w:val="0083566E"/>
    <w:rsid w:val="00844C6F"/>
    <w:rsid w:val="0084547B"/>
    <w:rsid w:val="00863DE2"/>
    <w:rsid w:val="00865AA3"/>
    <w:rsid w:val="0086609C"/>
    <w:rsid w:val="00886222"/>
    <w:rsid w:val="008926D6"/>
    <w:rsid w:val="008E0468"/>
    <w:rsid w:val="008F0514"/>
    <w:rsid w:val="00912EF6"/>
    <w:rsid w:val="00916475"/>
    <w:rsid w:val="00937E75"/>
    <w:rsid w:val="0095169B"/>
    <w:rsid w:val="009545E7"/>
    <w:rsid w:val="0096591F"/>
    <w:rsid w:val="0098548A"/>
    <w:rsid w:val="0098568C"/>
    <w:rsid w:val="009B514C"/>
    <w:rsid w:val="009D7DFA"/>
    <w:rsid w:val="00A414AB"/>
    <w:rsid w:val="00A51A0B"/>
    <w:rsid w:val="00A63FE3"/>
    <w:rsid w:val="00A655FA"/>
    <w:rsid w:val="00AA1516"/>
    <w:rsid w:val="00AA299F"/>
    <w:rsid w:val="00AA33A5"/>
    <w:rsid w:val="00B0382C"/>
    <w:rsid w:val="00B1481A"/>
    <w:rsid w:val="00B176D3"/>
    <w:rsid w:val="00B23E68"/>
    <w:rsid w:val="00B32E6E"/>
    <w:rsid w:val="00B3502A"/>
    <w:rsid w:val="00B4674C"/>
    <w:rsid w:val="00BC4ED7"/>
    <w:rsid w:val="00BC6B14"/>
    <w:rsid w:val="00BE4E97"/>
    <w:rsid w:val="00C02EC4"/>
    <w:rsid w:val="00C03C09"/>
    <w:rsid w:val="00C107EE"/>
    <w:rsid w:val="00C11FEA"/>
    <w:rsid w:val="00C2010F"/>
    <w:rsid w:val="00C243B2"/>
    <w:rsid w:val="00C339B8"/>
    <w:rsid w:val="00C35B73"/>
    <w:rsid w:val="00C45B4F"/>
    <w:rsid w:val="00C551BA"/>
    <w:rsid w:val="00C67F6F"/>
    <w:rsid w:val="00C72F36"/>
    <w:rsid w:val="00C96A8F"/>
    <w:rsid w:val="00CB1755"/>
    <w:rsid w:val="00CE2896"/>
    <w:rsid w:val="00CE787F"/>
    <w:rsid w:val="00D26B7C"/>
    <w:rsid w:val="00D319E8"/>
    <w:rsid w:val="00D31B79"/>
    <w:rsid w:val="00D31F2E"/>
    <w:rsid w:val="00D50854"/>
    <w:rsid w:val="00D92199"/>
    <w:rsid w:val="00D968A9"/>
    <w:rsid w:val="00DA3E56"/>
    <w:rsid w:val="00DD6190"/>
    <w:rsid w:val="00DE7802"/>
    <w:rsid w:val="00DF4F33"/>
    <w:rsid w:val="00DF670B"/>
    <w:rsid w:val="00E34FC1"/>
    <w:rsid w:val="00E371B1"/>
    <w:rsid w:val="00E57EBF"/>
    <w:rsid w:val="00E652B9"/>
    <w:rsid w:val="00E75A74"/>
    <w:rsid w:val="00E80DD3"/>
    <w:rsid w:val="00E847BD"/>
    <w:rsid w:val="00E90488"/>
    <w:rsid w:val="00E92616"/>
    <w:rsid w:val="00EA522F"/>
    <w:rsid w:val="00EC720D"/>
    <w:rsid w:val="00EC7218"/>
    <w:rsid w:val="00EC7B7F"/>
    <w:rsid w:val="00ED2611"/>
    <w:rsid w:val="00ED4FD8"/>
    <w:rsid w:val="00F34E82"/>
    <w:rsid w:val="00F35633"/>
    <w:rsid w:val="00F50C0A"/>
    <w:rsid w:val="00F564F9"/>
    <w:rsid w:val="00F66090"/>
    <w:rsid w:val="00F8583C"/>
    <w:rsid w:val="00F97F79"/>
    <w:rsid w:val="00FB7C52"/>
    <w:rsid w:val="00FE4A54"/>
    <w:rsid w:val="00FF76F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CD1AD"/>
  <w15:chartTrackingRefBased/>
  <w15:docId w15:val="{5247ADC6-243C-4882-AF3B-C5A2D09F7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9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9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9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9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9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9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9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9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9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9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9B8"/>
    <w:rPr>
      <w:rFonts w:eastAsiaTheme="majorEastAsia" w:cstheme="majorBidi"/>
      <w:color w:val="272727" w:themeColor="text1" w:themeTint="D8"/>
    </w:rPr>
  </w:style>
  <w:style w:type="paragraph" w:styleId="Title">
    <w:name w:val="Title"/>
    <w:basedOn w:val="Normal"/>
    <w:next w:val="Normal"/>
    <w:link w:val="TitleChar"/>
    <w:uiPriority w:val="10"/>
    <w:qFormat/>
    <w:rsid w:val="00C33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9B8"/>
    <w:pPr>
      <w:spacing w:before="160"/>
      <w:jc w:val="center"/>
    </w:pPr>
    <w:rPr>
      <w:i/>
      <w:iCs/>
      <w:color w:val="404040" w:themeColor="text1" w:themeTint="BF"/>
    </w:rPr>
  </w:style>
  <w:style w:type="character" w:customStyle="1" w:styleId="QuoteChar">
    <w:name w:val="Quote Char"/>
    <w:basedOn w:val="DefaultParagraphFont"/>
    <w:link w:val="Quote"/>
    <w:uiPriority w:val="29"/>
    <w:rsid w:val="00C339B8"/>
    <w:rPr>
      <w:i/>
      <w:iCs/>
      <w:color w:val="404040" w:themeColor="text1" w:themeTint="BF"/>
    </w:rPr>
  </w:style>
  <w:style w:type="paragraph" w:styleId="ListParagraph">
    <w:name w:val="List Paragraph"/>
    <w:basedOn w:val="Normal"/>
    <w:uiPriority w:val="34"/>
    <w:qFormat/>
    <w:rsid w:val="00C339B8"/>
    <w:pPr>
      <w:ind w:left="720"/>
      <w:contextualSpacing/>
    </w:pPr>
  </w:style>
  <w:style w:type="character" w:styleId="IntenseEmphasis">
    <w:name w:val="Intense Emphasis"/>
    <w:basedOn w:val="DefaultParagraphFont"/>
    <w:uiPriority w:val="21"/>
    <w:qFormat/>
    <w:rsid w:val="00C339B8"/>
    <w:rPr>
      <w:i/>
      <w:iCs/>
      <w:color w:val="0F4761" w:themeColor="accent1" w:themeShade="BF"/>
    </w:rPr>
  </w:style>
  <w:style w:type="paragraph" w:styleId="IntenseQuote">
    <w:name w:val="Intense Quote"/>
    <w:basedOn w:val="Normal"/>
    <w:next w:val="Normal"/>
    <w:link w:val="IntenseQuoteChar"/>
    <w:uiPriority w:val="30"/>
    <w:qFormat/>
    <w:rsid w:val="00C33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9B8"/>
    <w:rPr>
      <w:i/>
      <w:iCs/>
      <w:color w:val="0F4761" w:themeColor="accent1" w:themeShade="BF"/>
    </w:rPr>
  </w:style>
  <w:style w:type="character" w:styleId="IntenseReference">
    <w:name w:val="Intense Reference"/>
    <w:basedOn w:val="DefaultParagraphFont"/>
    <w:uiPriority w:val="32"/>
    <w:qFormat/>
    <w:rsid w:val="00C339B8"/>
    <w:rPr>
      <w:b/>
      <w:bCs/>
      <w:smallCaps/>
      <w:color w:val="0F4761" w:themeColor="accent1" w:themeShade="BF"/>
      <w:spacing w:val="5"/>
    </w:rPr>
  </w:style>
  <w:style w:type="paragraph" w:customStyle="1" w:styleId="PaperTitle">
    <w:name w:val="Paper_Title"/>
    <w:link w:val="PaperTitleChar"/>
    <w:qFormat/>
    <w:rsid w:val="0028671B"/>
    <w:pPr>
      <w:spacing w:line="360" w:lineRule="auto"/>
      <w:jc w:val="both"/>
    </w:pPr>
    <w:rPr>
      <w:rFonts w:ascii="Arial" w:eastAsiaTheme="majorEastAsia" w:hAnsi="Arial" w:cs="Arial"/>
      <w:b/>
      <w:bCs/>
      <w:spacing w:val="-10"/>
      <w:kern w:val="28"/>
      <w:sz w:val="20"/>
      <w:szCs w:val="20"/>
    </w:rPr>
  </w:style>
  <w:style w:type="character" w:customStyle="1" w:styleId="PaperTitleChar">
    <w:name w:val="Paper_Title Char"/>
    <w:basedOn w:val="TitleChar"/>
    <w:link w:val="PaperTitle"/>
    <w:rsid w:val="0028671B"/>
    <w:rPr>
      <w:rFonts w:ascii="Arial" w:eastAsiaTheme="majorEastAsia" w:hAnsi="Arial" w:cs="Arial"/>
      <w:b/>
      <w:bCs/>
      <w:spacing w:val="-10"/>
      <w:kern w:val="28"/>
      <w:sz w:val="20"/>
      <w:szCs w:val="20"/>
    </w:rPr>
  </w:style>
  <w:style w:type="character" w:styleId="Hyperlink">
    <w:name w:val="Hyperlink"/>
    <w:basedOn w:val="DefaultParagraphFont"/>
    <w:uiPriority w:val="99"/>
    <w:unhideWhenUsed/>
    <w:rsid w:val="00C2010F"/>
    <w:rPr>
      <w:color w:val="467886" w:themeColor="hyperlink"/>
      <w:u w:val="single"/>
    </w:rPr>
  </w:style>
  <w:style w:type="character" w:styleId="UnresolvedMention">
    <w:name w:val="Unresolved Mention"/>
    <w:basedOn w:val="DefaultParagraphFont"/>
    <w:uiPriority w:val="99"/>
    <w:semiHidden/>
    <w:unhideWhenUsed/>
    <w:rsid w:val="00C2010F"/>
    <w:rPr>
      <w:color w:val="605E5C"/>
      <w:shd w:val="clear" w:color="auto" w:fill="E1DFDD"/>
    </w:rPr>
  </w:style>
  <w:style w:type="paragraph" w:styleId="NormalWeb">
    <w:name w:val="Normal (Web)"/>
    <w:basedOn w:val="Normal"/>
    <w:uiPriority w:val="99"/>
    <w:semiHidden/>
    <w:unhideWhenUsed/>
    <w:rsid w:val="0002337A"/>
    <w:rPr>
      <w:rFonts w:ascii="Times New Roman" w:hAnsi="Times New Roman" w:cs="Times New Roman"/>
      <w:sz w:val="24"/>
      <w:szCs w:val="24"/>
    </w:rPr>
  </w:style>
  <w:style w:type="paragraph" w:customStyle="1" w:styleId="MDPI31text">
    <w:name w:val="MDPI_3.1_text"/>
    <w:link w:val="MDPI31textChar"/>
    <w:qFormat/>
    <w:rsid w:val="006006B1"/>
    <w:pPr>
      <w:adjustRightInd w:val="0"/>
      <w:snapToGrid w:val="0"/>
      <w:spacing w:after="0" w:line="280" w:lineRule="atLeast"/>
      <w:ind w:left="2608" w:firstLine="425"/>
      <w:jc w:val="both"/>
    </w:pPr>
    <w:rPr>
      <w:rFonts w:ascii="Palatino Linotype" w:eastAsia="Times New Roman" w:hAnsi="Palatino Linotype" w:cs="Times New Roman"/>
      <w:snapToGrid w:val="0"/>
      <w:color w:val="000000"/>
      <w:kern w:val="0"/>
      <w:sz w:val="20"/>
      <w:lang w:val="en-US" w:eastAsia="de-DE" w:bidi="en-US"/>
      <w14:ligatures w14:val="none"/>
    </w:rPr>
  </w:style>
  <w:style w:type="table" w:styleId="ListTable6Colorful">
    <w:name w:val="List Table 6 Colorful"/>
    <w:basedOn w:val="TableNormal"/>
    <w:uiPriority w:val="51"/>
    <w:rsid w:val="006006B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MDPI31textChar">
    <w:name w:val="MDPI_3.1_text Char"/>
    <w:basedOn w:val="DefaultParagraphFont"/>
    <w:link w:val="MDPI31text"/>
    <w:rsid w:val="006006B1"/>
    <w:rPr>
      <w:rFonts w:ascii="Palatino Linotype" w:eastAsia="Times New Roman" w:hAnsi="Palatino Linotype" w:cs="Times New Roman"/>
      <w:snapToGrid w:val="0"/>
      <w:color w:val="000000"/>
      <w:kern w:val="0"/>
      <w:sz w:val="20"/>
      <w:lang w:val="en-US" w:eastAsia="de-DE" w:bidi="en-US"/>
      <w14:ligatures w14:val="none"/>
    </w:rPr>
  </w:style>
  <w:style w:type="table" w:styleId="TableGrid">
    <w:name w:val="Table Grid"/>
    <w:basedOn w:val="TableNormal"/>
    <w:uiPriority w:val="39"/>
    <w:rsid w:val="00AA2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PI16affiliation">
    <w:name w:val="MDPI_1.6_affiliation"/>
    <w:qFormat/>
    <w:rsid w:val="00863DE2"/>
    <w:pPr>
      <w:adjustRightInd w:val="0"/>
      <w:snapToGrid w:val="0"/>
      <w:spacing w:after="0" w:line="200" w:lineRule="atLeast"/>
      <w:ind w:left="2806" w:hanging="198"/>
    </w:pPr>
    <w:rPr>
      <w:rFonts w:ascii="Palatino Linotype" w:eastAsia="Times New Roman" w:hAnsi="Palatino Linotype" w:cs="Times New Roman"/>
      <w:color w:val="000000"/>
      <w:kern w:val="0"/>
      <w:sz w:val="16"/>
      <w:szCs w:val="18"/>
      <w:lang w:val="en-US" w:eastAsia="de-DE" w:bidi="en-US"/>
      <w14:ligatures w14:val="none"/>
    </w:rPr>
  </w:style>
  <w:style w:type="paragraph" w:customStyle="1" w:styleId="MDPI13authornames">
    <w:name w:val="MDPI_1.3_authornames"/>
    <w:next w:val="Normal"/>
    <w:qFormat/>
    <w:rsid w:val="00125D14"/>
    <w:pPr>
      <w:adjustRightInd w:val="0"/>
      <w:snapToGrid w:val="0"/>
      <w:spacing w:after="360" w:line="260" w:lineRule="atLeast"/>
    </w:pPr>
    <w:rPr>
      <w:rFonts w:ascii="Palatino Linotype" w:eastAsia="Times New Roman" w:hAnsi="Palatino Linotype" w:cs="Times New Roman"/>
      <w:b/>
      <w:color w:val="000000"/>
      <w:kern w:val="0"/>
      <w:sz w:val="20"/>
      <w:lang w:val="en-US" w:eastAsia="de-DE"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689664">
      <w:bodyDiv w:val="1"/>
      <w:marLeft w:val="0"/>
      <w:marRight w:val="0"/>
      <w:marTop w:val="0"/>
      <w:marBottom w:val="0"/>
      <w:divBdr>
        <w:top w:val="none" w:sz="0" w:space="0" w:color="auto"/>
        <w:left w:val="none" w:sz="0" w:space="0" w:color="auto"/>
        <w:bottom w:val="none" w:sz="0" w:space="0" w:color="auto"/>
        <w:right w:val="none" w:sz="0" w:space="0" w:color="auto"/>
      </w:divBdr>
    </w:div>
    <w:div w:id="232812584">
      <w:bodyDiv w:val="1"/>
      <w:marLeft w:val="0"/>
      <w:marRight w:val="0"/>
      <w:marTop w:val="0"/>
      <w:marBottom w:val="0"/>
      <w:divBdr>
        <w:top w:val="none" w:sz="0" w:space="0" w:color="auto"/>
        <w:left w:val="none" w:sz="0" w:space="0" w:color="auto"/>
        <w:bottom w:val="none" w:sz="0" w:space="0" w:color="auto"/>
        <w:right w:val="none" w:sz="0" w:space="0" w:color="auto"/>
      </w:divBdr>
    </w:div>
    <w:div w:id="237055834">
      <w:bodyDiv w:val="1"/>
      <w:marLeft w:val="0"/>
      <w:marRight w:val="0"/>
      <w:marTop w:val="0"/>
      <w:marBottom w:val="0"/>
      <w:divBdr>
        <w:top w:val="none" w:sz="0" w:space="0" w:color="auto"/>
        <w:left w:val="none" w:sz="0" w:space="0" w:color="auto"/>
        <w:bottom w:val="none" w:sz="0" w:space="0" w:color="auto"/>
        <w:right w:val="none" w:sz="0" w:space="0" w:color="auto"/>
      </w:divBdr>
    </w:div>
    <w:div w:id="357582921">
      <w:bodyDiv w:val="1"/>
      <w:marLeft w:val="0"/>
      <w:marRight w:val="0"/>
      <w:marTop w:val="0"/>
      <w:marBottom w:val="0"/>
      <w:divBdr>
        <w:top w:val="none" w:sz="0" w:space="0" w:color="auto"/>
        <w:left w:val="none" w:sz="0" w:space="0" w:color="auto"/>
        <w:bottom w:val="none" w:sz="0" w:space="0" w:color="auto"/>
        <w:right w:val="none" w:sz="0" w:space="0" w:color="auto"/>
      </w:divBdr>
    </w:div>
    <w:div w:id="433785692">
      <w:bodyDiv w:val="1"/>
      <w:marLeft w:val="0"/>
      <w:marRight w:val="0"/>
      <w:marTop w:val="0"/>
      <w:marBottom w:val="0"/>
      <w:divBdr>
        <w:top w:val="none" w:sz="0" w:space="0" w:color="auto"/>
        <w:left w:val="none" w:sz="0" w:space="0" w:color="auto"/>
        <w:bottom w:val="none" w:sz="0" w:space="0" w:color="auto"/>
        <w:right w:val="none" w:sz="0" w:space="0" w:color="auto"/>
      </w:divBdr>
    </w:div>
    <w:div w:id="505167848">
      <w:bodyDiv w:val="1"/>
      <w:marLeft w:val="0"/>
      <w:marRight w:val="0"/>
      <w:marTop w:val="0"/>
      <w:marBottom w:val="0"/>
      <w:divBdr>
        <w:top w:val="none" w:sz="0" w:space="0" w:color="auto"/>
        <w:left w:val="none" w:sz="0" w:space="0" w:color="auto"/>
        <w:bottom w:val="none" w:sz="0" w:space="0" w:color="auto"/>
        <w:right w:val="none" w:sz="0" w:space="0" w:color="auto"/>
      </w:divBdr>
    </w:div>
    <w:div w:id="741560670">
      <w:bodyDiv w:val="1"/>
      <w:marLeft w:val="0"/>
      <w:marRight w:val="0"/>
      <w:marTop w:val="0"/>
      <w:marBottom w:val="0"/>
      <w:divBdr>
        <w:top w:val="none" w:sz="0" w:space="0" w:color="auto"/>
        <w:left w:val="none" w:sz="0" w:space="0" w:color="auto"/>
        <w:bottom w:val="none" w:sz="0" w:space="0" w:color="auto"/>
        <w:right w:val="none" w:sz="0" w:space="0" w:color="auto"/>
      </w:divBdr>
    </w:div>
    <w:div w:id="882599694">
      <w:bodyDiv w:val="1"/>
      <w:marLeft w:val="0"/>
      <w:marRight w:val="0"/>
      <w:marTop w:val="0"/>
      <w:marBottom w:val="0"/>
      <w:divBdr>
        <w:top w:val="none" w:sz="0" w:space="0" w:color="auto"/>
        <w:left w:val="none" w:sz="0" w:space="0" w:color="auto"/>
        <w:bottom w:val="none" w:sz="0" w:space="0" w:color="auto"/>
        <w:right w:val="none" w:sz="0" w:space="0" w:color="auto"/>
      </w:divBdr>
    </w:div>
    <w:div w:id="966008530">
      <w:bodyDiv w:val="1"/>
      <w:marLeft w:val="0"/>
      <w:marRight w:val="0"/>
      <w:marTop w:val="0"/>
      <w:marBottom w:val="0"/>
      <w:divBdr>
        <w:top w:val="none" w:sz="0" w:space="0" w:color="auto"/>
        <w:left w:val="none" w:sz="0" w:space="0" w:color="auto"/>
        <w:bottom w:val="none" w:sz="0" w:space="0" w:color="auto"/>
        <w:right w:val="none" w:sz="0" w:space="0" w:color="auto"/>
      </w:divBdr>
    </w:div>
    <w:div w:id="974485582">
      <w:bodyDiv w:val="1"/>
      <w:marLeft w:val="0"/>
      <w:marRight w:val="0"/>
      <w:marTop w:val="0"/>
      <w:marBottom w:val="0"/>
      <w:divBdr>
        <w:top w:val="none" w:sz="0" w:space="0" w:color="auto"/>
        <w:left w:val="none" w:sz="0" w:space="0" w:color="auto"/>
        <w:bottom w:val="none" w:sz="0" w:space="0" w:color="auto"/>
        <w:right w:val="none" w:sz="0" w:space="0" w:color="auto"/>
      </w:divBdr>
    </w:div>
    <w:div w:id="975720557">
      <w:bodyDiv w:val="1"/>
      <w:marLeft w:val="0"/>
      <w:marRight w:val="0"/>
      <w:marTop w:val="0"/>
      <w:marBottom w:val="0"/>
      <w:divBdr>
        <w:top w:val="none" w:sz="0" w:space="0" w:color="auto"/>
        <w:left w:val="none" w:sz="0" w:space="0" w:color="auto"/>
        <w:bottom w:val="none" w:sz="0" w:space="0" w:color="auto"/>
        <w:right w:val="none" w:sz="0" w:space="0" w:color="auto"/>
      </w:divBdr>
    </w:div>
    <w:div w:id="1053891786">
      <w:bodyDiv w:val="1"/>
      <w:marLeft w:val="0"/>
      <w:marRight w:val="0"/>
      <w:marTop w:val="0"/>
      <w:marBottom w:val="0"/>
      <w:divBdr>
        <w:top w:val="none" w:sz="0" w:space="0" w:color="auto"/>
        <w:left w:val="none" w:sz="0" w:space="0" w:color="auto"/>
        <w:bottom w:val="none" w:sz="0" w:space="0" w:color="auto"/>
        <w:right w:val="none" w:sz="0" w:space="0" w:color="auto"/>
      </w:divBdr>
    </w:div>
    <w:div w:id="1266156928">
      <w:bodyDiv w:val="1"/>
      <w:marLeft w:val="0"/>
      <w:marRight w:val="0"/>
      <w:marTop w:val="0"/>
      <w:marBottom w:val="0"/>
      <w:divBdr>
        <w:top w:val="none" w:sz="0" w:space="0" w:color="auto"/>
        <w:left w:val="none" w:sz="0" w:space="0" w:color="auto"/>
        <w:bottom w:val="none" w:sz="0" w:space="0" w:color="auto"/>
        <w:right w:val="none" w:sz="0" w:space="0" w:color="auto"/>
      </w:divBdr>
    </w:div>
    <w:div w:id="1291134918">
      <w:bodyDiv w:val="1"/>
      <w:marLeft w:val="0"/>
      <w:marRight w:val="0"/>
      <w:marTop w:val="0"/>
      <w:marBottom w:val="0"/>
      <w:divBdr>
        <w:top w:val="none" w:sz="0" w:space="0" w:color="auto"/>
        <w:left w:val="none" w:sz="0" w:space="0" w:color="auto"/>
        <w:bottom w:val="none" w:sz="0" w:space="0" w:color="auto"/>
        <w:right w:val="none" w:sz="0" w:space="0" w:color="auto"/>
      </w:divBdr>
    </w:div>
    <w:div w:id="1309435078">
      <w:bodyDiv w:val="1"/>
      <w:marLeft w:val="0"/>
      <w:marRight w:val="0"/>
      <w:marTop w:val="0"/>
      <w:marBottom w:val="0"/>
      <w:divBdr>
        <w:top w:val="none" w:sz="0" w:space="0" w:color="auto"/>
        <w:left w:val="none" w:sz="0" w:space="0" w:color="auto"/>
        <w:bottom w:val="none" w:sz="0" w:space="0" w:color="auto"/>
        <w:right w:val="none" w:sz="0" w:space="0" w:color="auto"/>
      </w:divBdr>
    </w:div>
    <w:div w:id="2110006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ormaw@utp.edu.my"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D11F5E65D0D1B4B914DB380111E8FFA" ma:contentTypeVersion="18" ma:contentTypeDescription="Create a new document." ma:contentTypeScope="" ma:versionID="fa9b5df3a9a997413fd1711961751661">
  <xsd:schema xmlns:xsd="http://www.w3.org/2001/XMLSchema" xmlns:xs="http://www.w3.org/2001/XMLSchema" xmlns:p="http://schemas.microsoft.com/office/2006/metadata/properties" xmlns:ns3="5da4f5da-ba71-45ed-acdb-b19b19884bc7" xmlns:ns4="c523bfb3-bcf0-4bfb-845c-890934dfa13d" targetNamespace="http://schemas.microsoft.com/office/2006/metadata/properties" ma:root="true" ma:fieldsID="b59cd0ec5c359edeaa5ece9e4bb39901" ns3:_="" ns4:_="">
    <xsd:import namespace="5da4f5da-ba71-45ed-acdb-b19b19884bc7"/>
    <xsd:import namespace="c523bfb3-bcf0-4bfb-845c-890934dfa13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a4f5da-ba71-45ed-acdb-b19b19884b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descriptio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23bfb3-bcf0-4bfb-845c-890934dfa13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5da4f5da-ba71-45ed-acdb-b19b19884bc7" xsi:nil="true"/>
  </documentManagement>
</p:properties>
</file>

<file path=customXml/itemProps1.xml><?xml version="1.0" encoding="utf-8"?>
<ds:datastoreItem xmlns:ds="http://schemas.openxmlformats.org/officeDocument/2006/customXml" ds:itemID="{E26A1497-6460-4502-8AA0-5394D2A4664F}">
  <ds:schemaRefs>
    <ds:schemaRef ds:uri="http://schemas.openxmlformats.org/officeDocument/2006/bibliography"/>
  </ds:schemaRefs>
</ds:datastoreItem>
</file>

<file path=customXml/itemProps2.xml><?xml version="1.0" encoding="utf-8"?>
<ds:datastoreItem xmlns:ds="http://schemas.openxmlformats.org/officeDocument/2006/customXml" ds:itemID="{E0828B46-4943-4E64-A1F4-E2C1C27A99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a4f5da-ba71-45ed-acdb-b19b19884bc7"/>
    <ds:schemaRef ds:uri="c523bfb3-bcf0-4bfb-845c-890934dfa1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ED8F43-BB79-4A66-ABE3-E392D87E6D03}">
  <ds:schemaRefs>
    <ds:schemaRef ds:uri="http://schemas.microsoft.com/sharepoint/v3/contenttype/forms"/>
  </ds:schemaRefs>
</ds:datastoreItem>
</file>

<file path=customXml/itemProps4.xml><?xml version="1.0" encoding="utf-8"?>
<ds:datastoreItem xmlns:ds="http://schemas.openxmlformats.org/officeDocument/2006/customXml" ds:itemID="{4B7352E7-D395-4B04-AFB0-DE7D351FA8E5}">
  <ds:schemaRefs>
    <ds:schemaRef ds:uri="http://schemas.microsoft.com/office/2006/metadata/properties"/>
    <ds:schemaRef ds:uri="http://schemas.microsoft.com/office/infopath/2007/PartnerControls"/>
    <ds:schemaRef ds:uri="5da4f5da-ba71-45ed-acdb-b19b19884bc7"/>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6</Pages>
  <Words>2451</Words>
  <Characters>13977</Characters>
  <Application>Microsoft Office Word</Application>
  <DocSecurity>0</DocSecurity>
  <Lines>116</Lines>
  <Paragraphs>32</Paragraphs>
  <ScaleCrop>false</ScaleCrop>
  <Company/>
  <LinksUpToDate>false</LinksUpToDate>
  <CharactersWithSpaces>16396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Nurin Athirah Binti Mohd Mazlan</dc:creator>
  <cp:keywords/>
  <dc:description/>
  <cp:lastModifiedBy>Nurin Athirah Binti Mohd Mazlan</cp:lastModifiedBy>
  <cp:revision>166</cp:revision>
  <cp:lastPrinted>2025-10-24T15:09:00Z</cp:lastPrinted>
  <dcterms:created xsi:type="dcterms:W3CDTF">2025-10-23T13:53:00Z</dcterms:created>
  <dcterms:modified xsi:type="dcterms:W3CDTF">2025-11-09T09:22:00Z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0x010100DD11F5E65D0D1B4B914DB380111E8FFA</vt:lpwstr>
  </property>
</Properties>
</file>