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44"/>
        </w:rPr>
        <w:t>PAKISTAN STOCK EXCHANGE</w:t>
      </w:r>
    </w:p>
    <w:p>
      <w:pPr>
        <w:jc w:val="center"/>
      </w:pPr>
      <w:r>
        <w:rPr>
          <w:b/>
          <w:color w:val="212529"/>
          <w:sz w:val="40"/>
        </w:rPr>
        <w:t>Real-Time AI-Powered Market Intelligence System</w:t>
      </w:r>
    </w:p>
    <w:p>
      <w:pPr>
        <w:jc w:val="center"/>
      </w:pPr>
      <w:r>
        <w:rPr>
          <w:b/>
          <w:color w:val="2E7D32"/>
          <w:sz w:val="36"/>
        </w:rPr>
        <w:t>Week 1 Implementation Progress Report</w:t>
      </w:r>
    </w:p>
    <w:p/>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F4E79"/>
          </w:tcPr>
          <w:p>
            <w:r/>
            <w:r>
              <w:rPr>
                <w:rFonts w:ascii="Calibri" w:hAnsi="Calibri"/>
                <w:b/>
                <w:color w:val="FFFFFF"/>
                <w:sz w:val="20"/>
              </w:rPr>
              <w:t>Subject</w:t>
            </w:r>
          </w:p>
        </w:tc>
        <w:tc>
          <w:tcPr>
            <w:tcW w:type="dxa" w:w="4997"/>
            <w:vAlign w:val="center"/>
          </w:tcPr>
          <w:p>
            <w:r/>
            <w:r>
              <w:rPr>
                <w:rFonts w:ascii="Calibri" w:hAnsi="Calibri"/>
                <w:b w:val="0"/>
                <w:sz w:val="20"/>
              </w:rPr>
              <w:t>Big Data Analytics</w:t>
            </w:r>
          </w:p>
        </w:tc>
      </w:tr>
      <w:tr>
        <w:tc>
          <w:tcPr>
            <w:tcW w:type="dxa" w:w="4997"/>
            <w:vAlign w:val="center"/>
            <w:shd w:fill="1F4E79"/>
          </w:tcPr>
          <w:p>
            <w:r/>
            <w:r>
              <w:rPr>
                <w:rFonts w:ascii="Calibri" w:hAnsi="Calibri"/>
                <w:b/>
                <w:color w:val="FFFFFF"/>
                <w:sz w:val="20"/>
              </w:rPr>
              <w:t>Submitted To</w:t>
            </w:r>
          </w:p>
        </w:tc>
        <w:tc>
          <w:tcPr>
            <w:tcW w:type="dxa" w:w="4997"/>
            <w:vAlign w:val="center"/>
          </w:tcPr>
          <w:p>
            <w:r/>
            <w:r>
              <w:rPr>
                <w:rFonts w:ascii="Calibri" w:hAnsi="Calibri"/>
                <w:b w:val="0"/>
                <w:sz w:val="20"/>
              </w:rPr>
              <w:t>Sir Zeeshan Hussain Chuhan</w:t>
            </w:r>
          </w:p>
        </w:tc>
      </w:tr>
      <w:tr>
        <w:tc>
          <w:tcPr>
            <w:tcW w:type="dxa" w:w="4997"/>
            <w:vAlign w:val="center"/>
            <w:shd w:fill="1F4E79"/>
          </w:tcPr>
          <w:p>
            <w:r/>
            <w:r>
              <w:rPr>
                <w:rFonts w:ascii="Calibri" w:hAnsi="Calibri"/>
                <w:b/>
                <w:color w:val="FFFFFF"/>
                <w:sz w:val="20"/>
              </w:rPr>
              <w:t>Submitted By</w:t>
            </w:r>
          </w:p>
        </w:tc>
        <w:tc>
          <w:tcPr>
            <w:tcW w:type="dxa" w:w="4997"/>
            <w:vAlign w:val="center"/>
          </w:tcPr>
          <w:p>
            <w:r/>
            <w:r>
              <w:rPr>
                <w:rFonts w:ascii="Calibri" w:hAnsi="Calibri"/>
                <w:b w:val="0"/>
                <w:sz w:val="20"/>
              </w:rPr>
              <w:t>Syeda Maria Batool (L1F23BSAI0115)</w:t>
              <w:br/>
              <w:t>Semal Fatima (L1F23BSAI0088)</w:t>
              <w:br/>
              <w:t>M. Aryan (L1F23BSAI0019)</w:t>
            </w:r>
          </w:p>
        </w:tc>
      </w:tr>
      <w:tr>
        <w:tc>
          <w:tcPr>
            <w:tcW w:type="dxa" w:w="4997"/>
            <w:vAlign w:val="center"/>
            <w:shd w:fill="1F4E79"/>
          </w:tcPr>
          <w:p>
            <w:r/>
            <w:r>
              <w:rPr>
                <w:rFonts w:ascii="Calibri" w:hAnsi="Calibri"/>
                <w:b/>
                <w:color w:val="FFFFFF"/>
                <w:sz w:val="20"/>
              </w:rPr>
              <w:t>Project Phase</w:t>
            </w:r>
          </w:p>
        </w:tc>
        <w:tc>
          <w:tcPr>
            <w:tcW w:type="dxa" w:w="4997"/>
            <w:vAlign w:val="center"/>
          </w:tcPr>
          <w:p>
            <w:r/>
            <w:r>
              <w:rPr>
                <w:rFonts w:ascii="Calibri" w:hAnsi="Calibri"/>
                <w:b w:val="0"/>
                <w:sz w:val="20"/>
              </w:rPr>
              <w:t>Week 1 - Foundation Setup and Streaming Pipeline</w:t>
            </w:r>
          </w:p>
        </w:tc>
      </w:tr>
      <w:tr>
        <w:tc>
          <w:tcPr>
            <w:tcW w:type="dxa" w:w="4997"/>
            <w:vAlign w:val="center"/>
            <w:shd w:fill="1F4E79"/>
          </w:tcPr>
          <w:p>
            <w:r/>
            <w:r>
              <w:rPr>
                <w:rFonts w:ascii="Calibri" w:hAnsi="Calibri"/>
                <w:b/>
                <w:color w:val="FFFFFF"/>
                <w:sz w:val="20"/>
              </w:rPr>
              <w:t>Report Date</w:t>
            </w:r>
          </w:p>
        </w:tc>
        <w:tc>
          <w:tcPr>
            <w:tcW w:type="dxa" w:w="4997"/>
            <w:vAlign w:val="center"/>
          </w:tcPr>
          <w:p>
            <w:r/>
            <w:r>
              <w:rPr>
                <w:rFonts w:ascii="Calibri" w:hAnsi="Calibri"/>
                <w:b w:val="0"/>
                <w:sz w:val="20"/>
              </w:rPr>
              <w:t>06 May 2026</w:t>
            </w:r>
          </w:p>
        </w:tc>
      </w:tr>
    </w:tbl>
    <w:p>
      <w:pPr>
        <w:spacing w:before="480"/>
        <w:jc w:val="center"/>
      </w:pPr>
      <w:r>
        <w:rPr>
          <w:b/>
          <w:color w:val="2E7D32"/>
          <w:sz w:val="24"/>
        </w:rPr>
        <w:t>Overall Status: Week 1 foundation work is completed and verified for local development.</w:t>
      </w:r>
    </w:p>
    <w:p>
      <w:r>
        <w:br w:type="page"/>
      </w:r>
    </w:p>
    <w:p>
      <w:pPr>
        <w:pStyle w:val="Heading1"/>
      </w:pPr>
      <w:r>
        <w:rPr>
          <w:rFonts w:ascii="Calibri" w:hAnsi="Calibri"/>
          <w:color w:val="1F4E79"/>
          <w:sz w:val="32"/>
        </w:rPr>
        <w:t>Executive Summary</w:t>
      </w:r>
    </w:p>
    <w:p>
      <w:pPr>
        <w:spacing w:after="120" w:line="259" w:lineRule="auto"/>
      </w:pPr>
      <w:r>
        <w:rPr>
          <w:rFonts w:ascii="Calibri" w:hAnsi="Calibri"/>
          <w:sz w:val="22"/>
        </w:rPr>
        <w:t>This document reports the Week 1 implementation progress for the PSX Real-Time AI-Powered Market Intelligence System. The objective of Week 1 was to prepare the local development foundation, configure the streaming infrastructure, create a sample PSX data flow, and connect PySpark with the Kafka-based market tick pipeline.</w:t>
      </w:r>
    </w:p>
    <w:p>
      <w:pPr>
        <w:spacing w:after="120" w:line="259" w:lineRule="auto"/>
      </w:pPr>
      <w:r>
        <w:rPr>
          <w:rFonts w:ascii="Calibri" w:hAnsi="Calibri"/>
          <w:sz w:val="22"/>
        </w:rPr>
        <w:t>The Week 1 milestone has been achieved at the foundation level. Docker and Docker Compose are available, Kafka and Zookeeper are defined in Docker Compose, sample PSX stock data has been added, a Kafka producer and consumer have been implemented, and the PySpark stream processor can start successfully with Spark 4.1.1. A unit test for tick generation also passes when the project root is included in PYTHONPATH.</w:t>
      </w:r>
    </w:p>
    <w:p>
      <w:pPr>
        <w:spacing w:after="120" w:line="259" w:lineRule="auto"/>
      </w:pPr>
      <w:r>
        <w:rPr>
          <w:rFonts w:ascii="Calibri" w:hAnsi="Calibri"/>
          <w:sz w:val="22"/>
        </w:rPr>
        <w:t>Important note: this is not the final complete system. RAG, sentiment analysis, multi-agent decision logic, and the Flask dashboard are present as project modules/placeholders but are planned for Week 2 and later phases.</w:t>
      </w:r>
    </w:p>
    <w:p>
      <w:pPr>
        <w:pStyle w:val="Heading1"/>
      </w:pPr>
      <w:r>
        <w:rPr>
          <w:rFonts w:ascii="Calibri" w:hAnsi="Calibri"/>
          <w:color w:val="1F4E79"/>
          <w:sz w:val="32"/>
        </w:rPr>
        <w:t>Direct Answer: Is Week 1 Work Completed?</w:t>
      </w:r>
    </w:p>
    <w:p>
      <w:pPr>
        <w:spacing w:after="120" w:line="259" w:lineRule="auto"/>
      </w:pPr>
      <w:r>
        <w:rPr>
          <w:rFonts w:ascii="Calibri" w:hAnsi="Calibri"/>
          <w:sz w:val="22"/>
        </w:rPr>
        <w:t>Yes. The Week 1 foundation work is completed. The system now has a working base for local streaming development: Docker/Kafka configuration, sample PSX data, Kafka producer/consumer code, PySpark stream processing code, Windows Hadoop support files, dependency setup, and verification evidence.</w:t>
      </w:r>
    </w:p>
    <w:p>
      <w:pPr>
        <w:spacing w:after="120" w:line="259" w:lineRule="auto"/>
      </w:pPr>
      <w:r>
        <w:rPr>
          <w:rFonts w:ascii="Calibri" w:hAnsi="Calibri"/>
          <w:sz w:val="22"/>
        </w:rPr>
        <w:t>For submission, it should be described as: Week 1 completed for infrastructure and streaming foundation; advanced AI features and dashboard integration are next milestones.</w:t>
      </w:r>
    </w:p>
    <w:tbl>
      <w:tblPr>
        <w:tblStyle w:val="TableGrid"/>
        <w:tblW w:type="auto" w:w="0"/>
        <w:jc w:val="center"/>
        <w:tblLook w:firstColumn="1" w:firstRow="1" w:lastColumn="0" w:lastRow="0" w:noHBand="0" w:noVBand="1" w:val="04A0"/>
      </w:tblPr>
      <w:tblGrid>
        <w:gridCol w:w="3331"/>
        <w:gridCol w:w="3331"/>
        <w:gridCol w:w="3331"/>
      </w:tblGrid>
      <w:tr>
        <w:tc>
          <w:tcPr>
            <w:tcW w:type="dxa" w:w="2592"/>
            <w:vAlign w:val="center"/>
            <w:shd w:fill="1F4E79"/>
          </w:tcPr>
          <w:p>
            <w:r/>
            <w:r>
              <w:rPr>
                <w:rFonts w:ascii="Calibri" w:hAnsi="Calibri"/>
                <w:b/>
                <w:color w:val="FFFFFF"/>
                <w:sz w:val="20"/>
              </w:rPr>
              <w:t>Area</w:t>
            </w:r>
          </w:p>
        </w:tc>
        <w:tc>
          <w:tcPr>
            <w:tcW w:type="dxa" w:w="1728"/>
            <w:vAlign w:val="center"/>
            <w:shd w:fill="1F4E79"/>
          </w:tcPr>
          <w:p>
            <w:r/>
            <w:r>
              <w:rPr>
                <w:rFonts w:ascii="Calibri" w:hAnsi="Calibri"/>
                <w:b/>
                <w:color w:val="FFFFFF"/>
                <w:sz w:val="20"/>
              </w:rPr>
              <w:t>Status</w:t>
            </w:r>
          </w:p>
        </w:tc>
        <w:tc>
          <w:tcPr>
            <w:tcW w:type="dxa" w:w="6048"/>
            <w:vAlign w:val="center"/>
            <w:shd w:fill="1F4E79"/>
          </w:tcPr>
          <w:p>
            <w:r/>
            <w:r>
              <w:rPr>
                <w:rFonts w:ascii="Calibri" w:hAnsi="Calibri"/>
                <w:b/>
                <w:color w:val="FFFFFF"/>
                <w:sz w:val="20"/>
              </w:rPr>
              <w:t>Evidence</w:t>
            </w:r>
          </w:p>
        </w:tc>
      </w:tr>
      <w:tr>
        <w:tc>
          <w:tcPr>
            <w:tcW w:type="dxa" w:w="2592"/>
            <w:vAlign w:val="center"/>
          </w:tcPr>
          <w:p>
            <w:r/>
            <w:r>
              <w:rPr>
                <w:rFonts w:ascii="Calibri" w:hAnsi="Calibri"/>
                <w:b w:val="0"/>
                <w:sz w:val="20"/>
              </w:rPr>
              <w:t>Docker installation</w:t>
            </w:r>
          </w:p>
        </w:tc>
        <w:tc>
          <w:tcPr>
            <w:tcW w:type="dxa" w:w="1728"/>
            <w:vAlign w:val="center"/>
            <w:shd w:fill="E2F0D9"/>
          </w:tcPr>
          <w:p>
            <w:r/>
            <w:r>
              <w:rPr>
                <w:rFonts w:ascii="Calibri" w:hAnsi="Calibri"/>
                <w:b w:val="0"/>
                <w:sz w:val="20"/>
              </w:rPr>
              <w:t>Verified</w:t>
            </w:r>
          </w:p>
        </w:tc>
        <w:tc>
          <w:tcPr>
            <w:tcW w:type="dxa" w:w="6048"/>
            <w:vAlign w:val="center"/>
          </w:tcPr>
          <w:p>
            <w:r/>
            <w:r>
              <w:rPr>
                <w:rFonts w:ascii="Calibri" w:hAnsi="Calibri"/>
                <w:b w:val="0"/>
                <w:sz w:val="20"/>
              </w:rPr>
              <w:t>Docker version 29.4.1 detected on the system.</w:t>
            </w:r>
          </w:p>
        </w:tc>
      </w:tr>
      <w:tr>
        <w:tc>
          <w:tcPr>
            <w:tcW w:type="dxa" w:w="2592"/>
            <w:vAlign w:val="center"/>
          </w:tcPr>
          <w:p>
            <w:r/>
            <w:r>
              <w:rPr>
                <w:rFonts w:ascii="Calibri" w:hAnsi="Calibri"/>
                <w:b w:val="0"/>
                <w:sz w:val="20"/>
              </w:rPr>
              <w:t>Docker Compose</w:t>
            </w:r>
          </w:p>
        </w:tc>
        <w:tc>
          <w:tcPr>
            <w:tcW w:type="dxa" w:w="1728"/>
            <w:vAlign w:val="center"/>
            <w:shd w:fill="E2F0D9"/>
          </w:tcPr>
          <w:p>
            <w:r/>
            <w:r>
              <w:rPr>
                <w:rFonts w:ascii="Calibri" w:hAnsi="Calibri"/>
                <w:b w:val="0"/>
                <w:sz w:val="20"/>
              </w:rPr>
              <w:t>Verified</w:t>
            </w:r>
          </w:p>
        </w:tc>
        <w:tc>
          <w:tcPr>
            <w:tcW w:type="dxa" w:w="6048"/>
            <w:vAlign w:val="center"/>
          </w:tcPr>
          <w:p>
            <w:r/>
            <w:r>
              <w:rPr>
                <w:rFonts w:ascii="Calibri" w:hAnsi="Calibri"/>
                <w:b w:val="0"/>
                <w:sz w:val="20"/>
              </w:rPr>
              <w:t>Docker Compose v5.1.3 detected; compose file includes zookeeper and kafka services.</w:t>
            </w:r>
          </w:p>
        </w:tc>
      </w:tr>
      <w:tr>
        <w:tc>
          <w:tcPr>
            <w:tcW w:type="dxa" w:w="2592"/>
            <w:vAlign w:val="center"/>
          </w:tcPr>
          <w:p>
            <w:r/>
            <w:r>
              <w:rPr>
                <w:rFonts w:ascii="Calibri" w:hAnsi="Calibri"/>
                <w:b w:val="0"/>
                <w:sz w:val="20"/>
              </w:rPr>
              <w:t>Kafka configuration</w:t>
            </w:r>
          </w:p>
        </w:tc>
        <w:tc>
          <w:tcPr>
            <w:tcW w:type="dxa" w:w="1728"/>
            <w:vAlign w:val="center"/>
            <w:shd w:fill="E2F0D9"/>
          </w:tcPr>
          <w:p>
            <w:r/>
            <w:r>
              <w:rPr>
                <w:rFonts w:ascii="Calibri" w:hAnsi="Calibri"/>
                <w:b w:val="0"/>
                <w:sz w:val="20"/>
              </w:rPr>
              <w:t>Complete</w:t>
            </w:r>
          </w:p>
        </w:tc>
        <w:tc>
          <w:tcPr>
            <w:tcW w:type="dxa" w:w="6048"/>
            <w:vAlign w:val="center"/>
          </w:tcPr>
          <w:p>
            <w:r/>
            <w:r>
              <w:rPr>
                <w:rFonts w:ascii="Calibri" w:hAnsi="Calibri"/>
                <w:b w:val="0"/>
                <w:sz w:val="20"/>
              </w:rPr>
              <w:t>docker-compose.yml defines Confluent Zookeeper and Kafka on localhost:9092.</w:t>
            </w:r>
          </w:p>
        </w:tc>
      </w:tr>
      <w:tr>
        <w:tc>
          <w:tcPr>
            <w:tcW w:type="dxa" w:w="2592"/>
            <w:vAlign w:val="center"/>
          </w:tcPr>
          <w:p>
            <w:r/>
            <w:r>
              <w:rPr>
                <w:rFonts w:ascii="Calibri" w:hAnsi="Calibri"/>
                <w:b w:val="0"/>
                <w:sz w:val="20"/>
              </w:rPr>
              <w:t>Sample PSX data</w:t>
            </w:r>
          </w:p>
        </w:tc>
        <w:tc>
          <w:tcPr>
            <w:tcW w:type="dxa" w:w="1728"/>
            <w:vAlign w:val="center"/>
            <w:shd w:fill="E2F0D9"/>
          </w:tcPr>
          <w:p>
            <w:r/>
            <w:r>
              <w:rPr>
                <w:rFonts w:ascii="Calibri" w:hAnsi="Calibri"/>
                <w:b w:val="0"/>
                <w:sz w:val="20"/>
              </w:rPr>
              <w:t>Complete</w:t>
            </w:r>
          </w:p>
        </w:tc>
        <w:tc>
          <w:tcPr>
            <w:tcW w:type="dxa" w:w="6048"/>
            <w:vAlign w:val="center"/>
          </w:tcPr>
          <w:p>
            <w:r/>
            <w:r>
              <w:rPr>
                <w:rFonts w:ascii="Calibri" w:hAnsi="Calibri"/>
                <w:b w:val="0"/>
                <w:sz w:val="20"/>
              </w:rPr>
              <w:t>data/sample_psx_data.csv contains sample symbols HBL, UBL, MCB, LUCK, and ENGRO.</w:t>
            </w:r>
          </w:p>
        </w:tc>
      </w:tr>
      <w:tr>
        <w:tc>
          <w:tcPr>
            <w:tcW w:type="dxa" w:w="2592"/>
            <w:vAlign w:val="center"/>
          </w:tcPr>
          <w:p>
            <w:r/>
            <w:r>
              <w:rPr>
                <w:rFonts w:ascii="Calibri" w:hAnsi="Calibri"/>
                <w:b w:val="0"/>
                <w:sz w:val="20"/>
              </w:rPr>
              <w:t>Kafka producer</w:t>
            </w:r>
          </w:p>
        </w:tc>
        <w:tc>
          <w:tcPr>
            <w:tcW w:type="dxa" w:w="1728"/>
            <w:vAlign w:val="center"/>
            <w:shd w:fill="E2F0D9"/>
          </w:tcPr>
          <w:p>
            <w:r/>
            <w:r>
              <w:rPr>
                <w:rFonts w:ascii="Calibri" w:hAnsi="Calibri"/>
                <w:b w:val="0"/>
                <w:sz w:val="20"/>
              </w:rPr>
              <w:t>Complete</w:t>
            </w:r>
          </w:p>
        </w:tc>
        <w:tc>
          <w:tcPr>
            <w:tcW w:type="dxa" w:w="6048"/>
            <w:vAlign w:val="center"/>
          </w:tcPr>
          <w:p>
            <w:r/>
            <w:r>
              <w:rPr>
                <w:rFonts w:ascii="Calibri" w:hAnsi="Calibri"/>
                <w:b w:val="0"/>
                <w:sz w:val="20"/>
              </w:rPr>
              <w:t>kafka_layer/producer.py generates simulated live market ticks and publishes JSON.</w:t>
            </w:r>
          </w:p>
        </w:tc>
      </w:tr>
      <w:tr>
        <w:tc>
          <w:tcPr>
            <w:tcW w:type="dxa" w:w="2592"/>
            <w:vAlign w:val="center"/>
          </w:tcPr>
          <w:p>
            <w:r/>
            <w:r>
              <w:rPr>
                <w:rFonts w:ascii="Calibri" w:hAnsi="Calibri"/>
                <w:b w:val="0"/>
                <w:sz w:val="20"/>
              </w:rPr>
              <w:t>Kafka consumer</w:t>
            </w:r>
          </w:p>
        </w:tc>
        <w:tc>
          <w:tcPr>
            <w:tcW w:type="dxa" w:w="1728"/>
            <w:vAlign w:val="center"/>
            <w:shd w:fill="E2F0D9"/>
          </w:tcPr>
          <w:p>
            <w:r/>
            <w:r>
              <w:rPr>
                <w:rFonts w:ascii="Calibri" w:hAnsi="Calibri"/>
                <w:b w:val="0"/>
                <w:sz w:val="20"/>
              </w:rPr>
              <w:t>Complete</w:t>
            </w:r>
          </w:p>
        </w:tc>
        <w:tc>
          <w:tcPr>
            <w:tcW w:type="dxa" w:w="6048"/>
            <w:vAlign w:val="center"/>
          </w:tcPr>
          <w:p>
            <w:r/>
            <w:r>
              <w:rPr>
                <w:rFonts w:ascii="Calibri" w:hAnsi="Calibri"/>
                <w:b w:val="0"/>
                <w:sz w:val="20"/>
              </w:rPr>
              <w:t>kafka_layer/consumer.py subscribes to the configured topic and deserializes JSON.</w:t>
            </w:r>
          </w:p>
        </w:tc>
      </w:tr>
      <w:tr>
        <w:tc>
          <w:tcPr>
            <w:tcW w:type="dxa" w:w="2592"/>
            <w:vAlign w:val="center"/>
          </w:tcPr>
          <w:p>
            <w:r/>
            <w:r>
              <w:rPr>
                <w:rFonts w:ascii="Calibri" w:hAnsi="Calibri"/>
                <w:b w:val="0"/>
                <w:sz w:val="20"/>
              </w:rPr>
              <w:t>PySpark integration</w:t>
            </w:r>
          </w:p>
        </w:tc>
        <w:tc>
          <w:tcPr>
            <w:tcW w:type="dxa" w:w="1728"/>
            <w:vAlign w:val="center"/>
            <w:shd w:fill="E2F0D9"/>
          </w:tcPr>
          <w:p>
            <w:r/>
            <w:r>
              <w:rPr>
                <w:rFonts w:ascii="Calibri" w:hAnsi="Calibri"/>
                <w:b w:val="0"/>
                <w:sz w:val="20"/>
              </w:rPr>
              <w:t>Verified</w:t>
            </w:r>
          </w:p>
        </w:tc>
        <w:tc>
          <w:tcPr>
            <w:tcW w:type="dxa" w:w="6048"/>
            <w:vAlign w:val="center"/>
          </w:tcPr>
          <w:p>
            <w:r/>
            <w:r>
              <w:rPr>
                <w:rFonts w:ascii="Calibri" w:hAnsi="Calibri"/>
                <w:b w:val="0"/>
                <w:sz w:val="20"/>
              </w:rPr>
              <w:t>spark_layer/stream_processor.py creates Spark session and reads Kafka streams; smoke test reports Spark 4.1.1.</w:t>
            </w:r>
          </w:p>
        </w:tc>
      </w:tr>
      <w:tr>
        <w:tc>
          <w:tcPr>
            <w:tcW w:type="dxa" w:w="2592"/>
            <w:vAlign w:val="center"/>
          </w:tcPr>
          <w:p>
            <w:r/>
            <w:r>
              <w:rPr>
                <w:rFonts w:ascii="Calibri" w:hAnsi="Calibri"/>
                <w:b w:val="0"/>
                <w:sz w:val="20"/>
              </w:rPr>
              <w:t>Testing</w:t>
            </w:r>
          </w:p>
        </w:tc>
        <w:tc>
          <w:tcPr>
            <w:tcW w:type="dxa" w:w="1728"/>
            <w:vAlign w:val="center"/>
            <w:shd w:fill="E2F0D9"/>
          </w:tcPr>
          <w:p>
            <w:r/>
            <w:r>
              <w:rPr>
                <w:rFonts w:ascii="Calibri" w:hAnsi="Calibri"/>
                <w:b w:val="0"/>
                <w:sz w:val="20"/>
              </w:rPr>
              <w:t>Passed</w:t>
            </w:r>
          </w:p>
        </w:tc>
        <w:tc>
          <w:tcPr>
            <w:tcW w:type="dxa" w:w="6048"/>
            <w:vAlign w:val="center"/>
          </w:tcPr>
          <w:p>
            <w:r/>
            <w:r>
              <w:rPr>
                <w:rFonts w:ascii="Calibri" w:hAnsi="Calibri"/>
                <w:b w:val="0"/>
                <w:sz w:val="20"/>
              </w:rPr>
              <w:t>$env:PYTHONPATH=(Get-Location).Path; pytest -q returned 1 passed.</w:t>
            </w:r>
          </w:p>
        </w:tc>
      </w:tr>
      <w:tr>
        <w:tc>
          <w:tcPr>
            <w:tcW w:type="dxa" w:w="2592"/>
            <w:vAlign w:val="center"/>
          </w:tcPr>
          <w:p>
            <w:r/>
            <w:r>
              <w:rPr>
                <w:rFonts w:ascii="Calibri" w:hAnsi="Calibri"/>
                <w:b w:val="0"/>
                <w:sz w:val="20"/>
              </w:rPr>
              <w:t>Official PSX dataset</w:t>
            </w:r>
          </w:p>
        </w:tc>
        <w:tc>
          <w:tcPr>
            <w:tcW w:type="dxa" w:w="1728"/>
            <w:vAlign w:val="center"/>
          </w:tcPr>
          <w:p>
            <w:r/>
            <w:r>
              <w:rPr>
                <w:rFonts w:ascii="Calibri" w:hAnsi="Calibri"/>
                <w:b w:val="0"/>
                <w:sz w:val="20"/>
              </w:rPr>
              <w:t>In progress</w:t>
            </w:r>
          </w:p>
        </w:tc>
        <w:tc>
          <w:tcPr>
            <w:tcW w:type="dxa" w:w="6048"/>
            <w:vAlign w:val="center"/>
          </w:tcPr>
          <w:p>
            <w:r/>
            <w:r>
              <w:rPr>
                <w:rFonts w:ascii="Calibri" w:hAnsi="Calibri"/>
                <w:b w:val="0"/>
                <w:sz w:val="20"/>
              </w:rPr>
              <w:t>Dataset request email was sent to PSX and a reply was received; formal data access/integration remains the next step.</w:t>
            </w:r>
          </w:p>
        </w:tc>
      </w:tr>
    </w:tbl>
    <w:p>
      <w:pPr>
        <w:pStyle w:val="Heading1"/>
      </w:pPr>
      <w:r>
        <w:rPr>
          <w:rFonts w:ascii="Calibri" w:hAnsi="Calibri"/>
          <w:color w:val="1F4E79"/>
          <w:sz w:val="32"/>
        </w:rPr>
        <w:t>Week 1 Implemented Pipeline</w:t>
      </w:r>
    </w:p>
    <w:p>
      <w:pPr>
        <w:spacing w:after="120" w:line="259" w:lineRule="auto"/>
      </w:pPr>
      <w:r>
        <w:rPr>
          <w:rFonts w:ascii="Calibri" w:hAnsi="Calibri"/>
          <w:sz w:val="22"/>
        </w:rPr>
        <w:t>The following diagram shows the implemented Week 1 streaming path. It starts from local sample PSX stock data, passes through Kafka, and is then consumed by PySpark for schema-based parsing.</w:t>
      </w:r>
    </w:p>
    <w:p>
      <w:r>
        <w:drawing>
          <wp:inline xmlns:a="http://schemas.openxmlformats.org/drawingml/2006/main" xmlns:pic="http://schemas.openxmlformats.org/drawingml/2006/picture">
            <wp:extent cx="6400800" cy="2720340"/>
            <wp:docPr id="1" name="Picture 1"/>
            <wp:cNvGraphicFramePr>
              <a:graphicFrameLocks noChangeAspect="1"/>
            </wp:cNvGraphicFramePr>
            <a:graphic>
              <a:graphicData uri="http://schemas.openxmlformats.org/drawingml/2006/picture">
                <pic:pic>
                  <pic:nvPicPr>
                    <pic:cNvPr id="0" name="week1_pipeline.png"/>
                    <pic:cNvPicPr/>
                  </pic:nvPicPr>
                  <pic:blipFill>
                    <a:blip r:embed="rId10"/>
                    <a:stretch>
                      <a:fillRect/>
                    </a:stretch>
                  </pic:blipFill>
                  <pic:spPr>
                    <a:xfrm>
                      <a:off x="0" y="0"/>
                      <a:ext cx="6400800" cy="2720340"/>
                    </a:xfrm>
                    <a:prstGeom prst="rect"/>
                  </pic:spPr>
                </pic:pic>
              </a:graphicData>
            </a:graphic>
          </wp:inline>
        </w:drawing>
      </w:r>
    </w:p>
    <w:p>
      <w:pPr>
        <w:pStyle w:val="Heading1"/>
      </w:pPr>
      <w:r>
        <w:rPr>
          <w:rFonts w:ascii="Calibri" w:hAnsi="Calibri"/>
          <w:color w:val="1F4E79"/>
          <w:sz w:val="32"/>
        </w:rPr>
        <w:t>System Architecture Status</w:t>
      </w:r>
    </w:p>
    <w:p>
      <w:pPr>
        <w:spacing w:after="120" w:line="259" w:lineRule="auto"/>
      </w:pPr>
      <w:r>
        <w:rPr>
          <w:rFonts w:ascii="Calibri" w:hAnsi="Calibri"/>
          <w:sz w:val="22"/>
        </w:rPr>
        <w:t>The complete project architecture includes real-time data ingestion, big data processing, RAG, sentiment analysis, multi-agent decision-making, and dashboard visualization. In Week 1, the streaming and processing foundation was prioritized.</w:t>
      </w:r>
    </w:p>
    <w:p>
      <w:r>
        <w:drawing>
          <wp:inline xmlns:a="http://schemas.openxmlformats.org/drawingml/2006/main" xmlns:pic="http://schemas.openxmlformats.org/drawingml/2006/picture">
            <wp:extent cx="6400800" cy="3600450"/>
            <wp:docPr id="2" name="Picture 2"/>
            <wp:cNvGraphicFramePr>
              <a:graphicFrameLocks noChangeAspect="1"/>
            </wp:cNvGraphicFramePr>
            <a:graphic>
              <a:graphicData uri="http://schemas.openxmlformats.org/drawingml/2006/picture">
                <pic:pic>
                  <pic:nvPicPr>
                    <pic:cNvPr id="0" name="week1_architecture.png"/>
                    <pic:cNvPicPr/>
                  </pic:nvPicPr>
                  <pic:blipFill>
                    <a:blip r:embed="rId11"/>
                    <a:stretch>
                      <a:fillRect/>
                    </a:stretch>
                  </pic:blipFill>
                  <pic:spPr>
                    <a:xfrm>
                      <a:off x="0" y="0"/>
                      <a:ext cx="6400800" cy="3600450"/>
                    </a:xfrm>
                    <a:prstGeom prst="rect"/>
                  </pic:spPr>
                </pic:pic>
              </a:graphicData>
            </a:graphic>
          </wp:inline>
        </w:drawing>
      </w:r>
    </w:p>
    <w:p>
      <w:pPr>
        <w:pStyle w:val="Heading1"/>
      </w:pPr>
      <w:r>
        <w:rPr>
          <w:rFonts w:ascii="Calibri" w:hAnsi="Calibri"/>
          <w:color w:val="1F4E79"/>
          <w:sz w:val="32"/>
        </w:rPr>
        <w:t>Week 1 Timeline</w:t>
      </w:r>
    </w:p>
    <w:p>
      <w:pPr>
        <w:spacing w:after="120" w:line="259" w:lineRule="auto"/>
      </w:pPr>
      <w:r>
        <w:rPr>
          <w:rFonts w:ascii="Calibri" w:hAnsi="Calibri"/>
          <w:sz w:val="22"/>
        </w:rPr>
        <w:t>This timeline summarizes the main activities completed during the first implementation week.</w:t>
      </w:r>
    </w:p>
    <w:p>
      <w:r>
        <w:drawing>
          <wp:inline xmlns:a="http://schemas.openxmlformats.org/drawingml/2006/main" xmlns:pic="http://schemas.openxmlformats.org/drawingml/2006/picture">
            <wp:extent cx="6400800" cy="2080260"/>
            <wp:docPr id="3" name="Picture 3"/>
            <wp:cNvGraphicFramePr>
              <a:graphicFrameLocks noChangeAspect="1"/>
            </wp:cNvGraphicFramePr>
            <a:graphic>
              <a:graphicData uri="http://schemas.openxmlformats.org/drawingml/2006/picture">
                <pic:pic>
                  <pic:nvPicPr>
                    <pic:cNvPr id="0" name="week1_timeline.png"/>
                    <pic:cNvPicPr/>
                  </pic:nvPicPr>
                  <pic:blipFill>
                    <a:blip r:embed="rId12"/>
                    <a:stretch>
                      <a:fillRect/>
                    </a:stretch>
                  </pic:blipFill>
                  <pic:spPr>
                    <a:xfrm>
                      <a:off x="0" y="0"/>
                      <a:ext cx="6400800" cy="2080260"/>
                    </a:xfrm>
                    <a:prstGeom prst="rect"/>
                  </pic:spPr>
                </pic:pic>
              </a:graphicData>
            </a:graphic>
          </wp:inline>
        </w:drawing>
      </w:r>
    </w:p>
    <w:p>
      <w:pPr>
        <w:pStyle w:val="Heading1"/>
      </w:pPr>
      <w:r>
        <w:rPr>
          <w:rFonts w:ascii="Calibri" w:hAnsi="Calibri"/>
          <w:color w:val="1F4E79"/>
          <w:sz w:val="32"/>
        </w:rPr>
        <w:t>Detailed Work Completed</w:t>
      </w:r>
    </w:p>
    <w:p>
      <w:pPr>
        <w:pStyle w:val="Heading2"/>
      </w:pPr>
      <w:r>
        <w:rPr>
          <w:rFonts w:ascii="Calibri" w:hAnsi="Calibri"/>
          <w:color w:val="212529"/>
          <w:sz w:val="26"/>
        </w:rPr>
        <w:t>1. Docker and Kafka Setup</w:t>
      </w:r>
    </w:p>
    <w:p>
      <w:pPr>
        <w:spacing w:after="120" w:line="259" w:lineRule="auto"/>
      </w:pPr>
      <w:r>
        <w:rPr>
          <w:rFonts w:ascii="Calibri" w:hAnsi="Calibri"/>
          <w:sz w:val="22"/>
        </w:rPr>
        <w:t>Docker was installed and verified on the development machine. Docker Compose was used to define the streaming infrastructure required by the system.</w:t>
      </w:r>
    </w:p>
    <w:p>
      <w:pPr>
        <w:pStyle w:val="ListBullet"/>
        <w:spacing w:after="60"/>
      </w:pPr>
      <w:r>
        <w:rPr>
          <w:rFonts w:ascii="Calibri" w:hAnsi="Calibri"/>
          <w:sz w:val="21"/>
        </w:rPr>
        <w:t>Docker version verified: Docker version 29.4.1.</w:t>
      </w:r>
    </w:p>
    <w:p>
      <w:pPr>
        <w:pStyle w:val="ListBullet"/>
        <w:spacing w:after="60"/>
      </w:pPr>
      <w:r>
        <w:rPr>
          <w:rFonts w:ascii="Calibri" w:hAnsi="Calibri"/>
          <w:sz w:val="21"/>
        </w:rPr>
        <w:t>Docker Compose version verified: v5.1.3.</w:t>
      </w:r>
    </w:p>
    <w:p>
      <w:pPr>
        <w:pStyle w:val="ListBullet"/>
        <w:spacing w:after="60"/>
      </w:pPr>
      <w:r>
        <w:rPr>
          <w:rFonts w:ascii="Calibri" w:hAnsi="Calibri"/>
          <w:sz w:val="21"/>
        </w:rPr>
        <w:t>docker-compose.yml defines two services: zookeeper and kafka.</w:t>
      </w:r>
    </w:p>
    <w:p>
      <w:pPr>
        <w:pStyle w:val="ListBullet"/>
        <w:spacing w:after="60"/>
      </w:pPr>
      <w:r>
        <w:rPr>
          <w:rFonts w:ascii="Calibri" w:hAnsi="Calibri"/>
          <w:sz w:val="21"/>
        </w:rPr>
        <w:t>Kafka is advertised locally through PLAINTEXT://localhost:9092.</w:t>
      </w:r>
    </w:p>
    <w:p>
      <w:pPr>
        <w:pStyle w:val="ListBullet"/>
        <w:spacing w:after="60"/>
      </w:pPr>
      <w:r>
        <w:rPr>
          <w:rFonts w:ascii="Calibri" w:hAnsi="Calibri"/>
          <w:sz w:val="21"/>
        </w:rPr>
        <w:t>Kafka offset topic replication factor is configured as 1 for local single-broker development.</w:t>
      </w:r>
    </w:p>
    <w:p>
      <w:pPr>
        <w:pStyle w:val="Heading2"/>
      </w:pPr>
      <w:r>
        <w:rPr>
          <w:rFonts w:ascii="Calibri" w:hAnsi="Calibri"/>
          <w:color w:val="212529"/>
          <w:sz w:val="26"/>
        </w:rPr>
        <w:t>2. Project Environment and Dependencies</w:t>
      </w:r>
    </w:p>
    <w:p>
      <w:pPr>
        <w:spacing w:after="120" w:line="259" w:lineRule="auto"/>
      </w:pPr>
      <w:r>
        <w:rPr>
          <w:rFonts w:ascii="Calibri" w:hAnsi="Calibri"/>
          <w:sz w:val="22"/>
        </w:rPr>
        <w:t>The Python environment dependencies required for Week 1 streaming work were defined in requirements.txt.</w:t>
      </w:r>
    </w:p>
    <w:p>
      <w:pPr>
        <w:pStyle w:val="ListBullet"/>
        <w:spacing w:after="60"/>
      </w:pPr>
      <w:r>
        <w:rPr>
          <w:rFonts w:ascii="Calibri" w:hAnsi="Calibri"/>
          <w:sz w:val="21"/>
        </w:rPr>
        <w:t>pandas for reading sample CSV market data.</w:t>
      </w:r>
    </w:p>
    <w:p>
      <w:pPr>
        <w:pStyle w:val="ListBullet"/>
        <w:spacing w:after="60"/>
      </w:pPr>
      <w:r>
        <w:rPr>
          <w:rFonts w:ascii="Calibri" w:hAnsi="Calibri"/>
          <w:sz w:val="21"/>
        </w:rPr>
        <w:t>kafka-python for Kafka producer and consumer integration.</w:t>
      </w:r>
    </w:p>
    <w:p>
      <w:pPr>
        <w:pStyle w:val="ListBullet"/>
        <w:spacing w:after="60"/>
      </w:pPr>
      <w:r>
        <w:rPr>
          <w:rFonts w:ascii="Calibri" w:hAnsi="Calibri"/>
          <w:sz w:val="21"/>
        </w:rPr>
        <w:t>python-dotenv for environment variable loading from .env.</w:t>
      </w:r>
    </w:p>
    <w:p>
      <w:pPr>
        <w:pStyle w:val="ListBullet"/>
        <w:spacing w:after="60"/>
      </w:pPr>
      <w:r>
        <w:rPr>
          <w:rFonts w:ascii="Calibri" w:hAnsi="Calibri"/>
          <w:sz w:val="21"/>
        </w:rPr>
        <w:t>pyspark for stream processing.</w:t>
      </w:r>
    </w:p>
    <w:p>
      <w:pPr>
        <w:pStyle w:val="ListBullet"/>
        <w:spacing w:after="60"/>
      </w:pPr>
      <w:r>
        <w:rPr>
          <w:rFonts w:ascii="Calibri" w:hAnsi="Calibri"/>
          <w:sz w:val="21"/>
        </w:rPr>
        <w:t>pytest for automated verification.</w:t>
      </w:r>
    </w:p>
    <w:p>
      <w:pPr>
        <w:spacing w:after="120" w:line="259" w:lineRule="auto"/>
      </w:pPr>
      <w:r>
        <w:rPr>
          <w:rFonts w:ascii="Calibri" w:hAnsi="Calibri"/>
          <w:sz w:val="22"/>
        </w:rPr>
        <w:t>The local .env file contains KAFKA_BOOTSTRAP_SERVERS=localhost:9092, which keeps Kafka connection settings separate from code.</w:t>
      </w:r>
    </w:p>
    <w:p>
      <w:pPr>
        <w:pStyle w:val="Heading2"/>
      </w:pPr>
      <w:r>
        <w:rPr>
          <w:rFonts w:ascii="Calibri" w:hAnsi="Calibri"/>
          <w:color w:val="212529"/>
          <w:sz w:val="26"/>
        </w:rPr>
        <w:t>3. Sample PSX Dataset</w:t>
      </w:r>
    </w:p>
    <w:p>
      <w:pPr>
        <w:spacing w:after="120" w:line="259" w:lineRule="auto"/>
      </w:pPr>
      <w:r>
        <w:rPr>
          <w:rFonts w:ascii="Calibri" w:hAnsi="Calibri"/>
          <w:sz w:val="22"/>
        </w:rPr>
        <w:t>A sample dataset was created for development before official PSX data access is finalized. This allows the Kafka and Spark pipeline to be built and tested without waiting for production data.</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440"/>
            <w:vAlign w:val="center"/>
            <w:shd w:fill="1F4E79"/>
          </w:tcPr>
          <w:p>
            <w:r/>
            <w:r>
              <w:rPr>
                <w:rFonts w:ascii="Calibri" w:hAnsi="Calibri"/>
                <w:b/>
                <w:color w:val="FFFFFF"/>
                <w:sz w:val="20"/>
              </w:rPr>
              <w:t>Symbol</w:t>
            </w:r>
          </w:p>
        </w:tc>
        <w:tc>
          <w:tcPr>
            <w:tcW w:type="dxa" w:w="1440"/>
            <w:vAlign w:val="center"/>
            <w:shd w:fill="1F4E79"/>
          </w:tcPr>
          <w:p>
            <w:r/>
            <w:r>
              <w:rPr>
                <w:rFonts w:ascii="Calibri" w:hAnsi="Calibri"/>
                <w:b/>
                <w:color w:val="FFFFFF"/>
                <w:sz w:val="20"/>
              </w:rPr>
              <w:t>Price</w:t>
            </w:r>
          </w:p>
        </w:tc>
        <w:tc>
          <w:tcPr>
            <w:tcW w:type="dxa" w:w="1584"/>
            <w:vAlign w:val="center"/>
            <w:shd w:fill="1F4E79"/>
          </w:tcPr>
          <w:p>
            <w:r/>
            <w:r>
              <w:rPr>
                <w:rFonts w:ascii="Calibri" w:hAnsi="Calibri"/>
                <w:b/>
                <w:color w:val="FFFFFF"/>
                <w:sz w:val="20"/>
              </w:rPr>
              <w:t>Volume</w:t>
            </w:r>
          </w:p>
        </w:tc>
        <w:tc>
          <w:tcPr>
            <w:tcW w:type="dxa" w:w="1440"/>
            <w:vAlign w:val="center"/>
            <w:shd w:fill="1F4E79"/>
          </w:tcPr>
          <w:p>
            <w:r/>
            <w:r>
              <w:rPr>
                <w:rFonts w:ascii="Calibri" w:hAnsi="Calibri"/>
                <w:b/>
                <w:color w:val="FFFFFF"/>
                <w:sz w:val="20"/>
              </w:rPr>
              <w:t>High</w:t>
            </w:r>
          </w:p>
        </w:tc>
        <w:tc>
          <w:tcPr>
            <w:tcW w:type="dxa" w:w="1440"/>
            <w:vAlign w:val="center"/>
            <w:shd w:fill="1F4E79"/>
          </w:tcPr>
          <w:p>
            <w:r/>
            <w:r>
              <w:rPr>
                <w:rFonts w:ascii="Calibri" w:hAnsi="Calibri"/>
                <w:b/>
                <w:color w:val="FFFFFF"/>
                <w:sz w:val="20"/>
              </w:rPr>
              <w:t>Low</w:t>
            </w:r>
          </w:p>
        </w:tc>
      </w:tr>
      <w:tr>
        <w:tc>
          <w:tcPr>
            <w:tcW w:type="dxa" w:w="1440"/>
            <w:vAlign w:val="center"/>
          </w:tcPr>
          <w:p>
            <w:r/>
            <w:r>
              <w:rPr>
                <w:rFonts w:ascii="Calibri" w:hAnsi="Calibri"/>
                <w:b w:val="0"/>
                <w:sz w:val="20"/>
              </w:rPr>
              <w:t>HBL</w:t>
            </w:r>
          </w:p>
        </w:tc>
        <w:tc>
          <w:tcPr>
            <w:tcW w:type="dxa" w:w="1440"/>
            <w:vAlign w:val="center"/>
          </w:tcPr>
          <w:p>
            <w:r/>
            <w:r>
              <w:rPr>
                <w:rFonts w:ascii="Calibri" w:hAnsi="Calibri"/>
                <w:b w:val="0"/>
                <w:sz w:val="20"/>
              </w:rPr>
              <w:t>142.50</w:t>
            </w:r>
          </w:p>
        </w:tc>
        <w:tc>
          <w:tcPr>
            <w:tcW w:type="dxa" w:w="1584"/>
            <w:vAlign w:val="center"/>
          </w:tcPr>
          <w:p>
            <w:r/>
            <w:r>
              <w:rPr>
                <w:rFonts w:ascii="Calibri" w:hAnsi="Calibri"/>
                <w:b w:val="0"/>
                <w:sz w:val="20"/>
              </w:rPr>
              <w:t>12000</w:t>
            </w:r>
          </w:p>
        </w:tc>
        <w:tc>
          <w:tcPr>
            <w:tcW w:type="dxa" w:w="1440"/>
            <w:vAlign w:val="center"/>
          </w:tcPr>
          <w:p>
            <w:r/>
            <w:r>
              <w:rPr>
                <w:rFonts w:ascii="Calibri" w:hAnsi="Calibri"/>
                <w:b w:val="0"/>
                <w:sz w:val="20"/>
              </w:rPr>
              <w:t>145.00</w:t>
            </w:r>
          </w:p>
        </w:tc>
        <w:tc>
          <w:tcPr>
            <w:tcW w:type="dxa" w:w="1440"/>
            <w:vAlign w:val="center"/>
          </w:tcPr>
          <w:p>
            <w:r/>
            <w:r>
              <w:rPr>
                <w:rFonts w:ascii="Calibri" w:hAnsi="Calibri"/>
                <w:b w:val="0"/>
                <w:sz w:val="20"/>
              </w:rPr>
              <w:t>140.20</w:t>
            </w:r>
          </w:p>
        </w:tc>
      </w:tr>
      <w:tr>
        <w:tc>
          <w:tcPr>
            <w:tcW w:type="dxa" w:w="1440"/>
            <w:vAlign w:val="center"/>
          </w:tcPr>
          <w:p>
            <w:r/>
            <w:r>
              <w:rPr>
                <w:rFonts w:ascii="Calibri" w:hAnsi="Calibri"/>
                <w:b w:val="0"/>
                <w:sz w:val="20"/>
              </w:rPr>
              <w:t>UBL</w:t>
            </w:r>
          </w:p>
        </w:tc>
        <w:tc>
          <w:tcPr>
            <w:tcW w:type="dxa" w:w="1440"/>
            <w:vAlign w:val="center"/>
          </w:tcPr>
          <w:p>
            <w:r/>
            <w:r>
              <w:rPr>
                <w:rFonts w:ascii="Calibri" w:hAnsi="Calibri"/>
                <w:b w:val="0"/>
                <w:sz w:val="20"/>
              </w:rPr>
              <w:t>188.30</w:t>
            </w:r>
          </w:p>
        </w:tc>
        <w:tc>
          <w:tcPr>
            <w:tcW w:type="dxa" w:w="1584"/>
            <w:vAlign w:val="center"/>
          </w:tcPr>
          <w:p>
            <w:r/>
            <w:r>
              <w:rPr>
                <w:rFonts w:ascii="Calibri" w:hAnsi="Calibri"/>
                <w:b w:val="0"/>
                <w:sz w:val="20"/>
              </w:rPr>
              <w:t>18000</w:t>
            </w:r>
          </w:p>
        </w:tc>
        <w:tc>
          <w:tcPr>
            <w:tcW w:type="dxa" w:w="1440"/>
            <w:vAlign w:val="center"/>
          </w:tcPr>
          <w:p>
            <w:r/>
            <w:r>
              <w:rPr>
                <w:rFonts w:ascii="Calibri" w:hAnsi="Calibri"/>
                <w:b w:val="0"/>
                <w:sz w:val="20"/>
              </w:rPr>
              <w:t>190.00</w:t>
            </w:r>
          </w:p>
        </w:tc>
        <w:tc>
          <w:tcPr>
            <w:tcW w:type="dxa" w:w="1440"/>
            <w:vAlign w:val="center"/>
          </w:tcPr>
          <w:p>
            <w:r/>
            <w:r>
              <w:rPr>
                <w:rFonts w:ascii="Calibri" w:hAnsi="Calibri"/>
                <w:b w:val="0"/>
                <w:sz w:val="20"/>
              </w:rPr>
              <w:t>185.50</w:t>
            </w:r>
          </w:p>
        </w:tc>
      </w:tr>
      <w:tr>
        <w:tc>
          <w:tcPr>
            <w:tcW w:type="dxa" w:w="1440"/>
            <w:vAlign w:val="center"/>
          </w:tcPr>
          <w:p>
            <w:r/>
            <w:r>
              <w:rPr>
                <w:rFonts w:ascii="Calibri" w:hAnsi="Calibri"/>
                <w:b w:val="0"/>
                <w:sz w:val="20"/>
              </w:rPr>
              <w:t>MCB</w:t>
            </w:r>
          </w:p>
        </w:tc>
        <w:tc>
          <w:tcPr>
            <w:tcW w:type="dxa" w:w="1440"/>
            <w:vAlign w:val="center"/>
          </w:tcPr>
          <w:p>
            <w:r/>
            <w:r>
              <w:rPr>
                <w:rFonts w:ascii="Calibri" w:hAnsi="Calibri"/>
                <w:b w:val="0"/>
                <w:sz w:val="20"/>
              </w:rPr>
              <w:t>225.75</w:t>
            </w:r>
          </w:p>
        </w:tc>
        <w:tc>
          <w:tcPr>
            <w:tcW w:type="dxa" w:w="1584"/>
            <w:vAlign w:val="center"/>
          </w:tcPr>
          <w:p>
            <w:r/>
            <w:r>
              <w:rPr>
                <w:rFonts w:ascii="Calibri" w:hAnsi="Calibri"/>
                <w:b w:val="0"/>
                <w:sz w:val="20"/>
              </w:rPr>
              <w:t>9000</w:t>
            </w:r>
          </w:p>
        </w:tc>
        <w:tc>
          <w:tcPr>
            <w:tcW w:type="dxa" w:w="1440"/>
            <w:vAlign w:val="center"/>
          </w:tcPr>
          <w:p>
            <w:r/>
            <w:r>
              <w:rPr>
                <w:rFonts w:ascii="Calibri" w:hAnsi="Calibri"/>
                <w:b w:val="0"/>
                <w:sz w:val="20"/>
              </w:rPr>
              <w:t>228.00</w:t>
            </w:r>
          </w:p>
        </w:tc>
        <w:tc>
          <w:tcPr>
            <w:tcW w:type="dxa" w:w="1440"/>
            <w:vAlign w:val="center"/>
          </w:tcPr>
          <w:p>
            <w:r/>
            <w:r>
              <w:rPr>
                <w:rFonts w:ascii="Calibri" w:hAnsi="Calibri"/>
                <w:b w:val="0"/>
                <w:sz w:val="20"/>
              </w:rPr>
              <w:t>222.10</w:t>
            </w:r>
          </w:p>
        </w:tc>
      </w:tr>
      <w:tr>
        <w:tc>
          <w:tcPr>
            <w:tcW w:type="dxa" w:w="1440"/>
            <w:vAlign w:val="center"/>
          </w:tcPr>
          <w:p>
            <w:r/>
            <w:r>
              <w:rPr>
                <w:rFonts w:ascii="Calibri" w:hAnsi="Calibri"/>
                <w:b w:val="0"/>
                <w:sz w:val="20"/>
              </w:rPr>
              <w:t>LUCK</w:t>
            </w:r>
          </w:p>
        </w:tc>
        <w:tc>
          <w:tcPr>
            <w:tcW w:type="dxa" w:w="1440"/>
            <w:vAlign w:val="center"/>
          </w:tcPr>
          <w:p>
            <w:r/>
            <w:r>
              <w:rPr>
                <w:rFonts w:ascii="Calibri" w:hAnsi="Calibri"/>
                <w:b w:val="0"/>
                <w:sz w:val="20"/>
              </w:rPr>
              <w:t>740.20</w:t>
            </w:r>
          </w:p>
        </w:tc>
        <w:tc>
          <w:tcPr>
            <w:tcW w:type="dxa" w:w="1584"/>
            <w:vAlign w:val="center"/>
          </w:tcPr>
          <w:p>
            <w:r/>
            <w:r>
              <w:rPr>
                <w:rFonts w:ascii="Calibri" w:hAnsi="Calibri"/>
                <w:b w:val="0"/>
                <w:sz w:val="20"/>
              </w:rPr>
              <w:t>15000</w:t>
            </w:r>
          </w:p>
        </w:tc>
        <w:tc>
          <w:tcPr>
            <w:tcW w:type="dxa" w:w="1440"/>
            <w:vAlign w:val="center"/>
          </w:tcPr>
          <w:p>
            <w:r/>
            <w:r>
              <w:rPr>
                <w:rFonts w:ascii="Calibri" w:hAnsi="Calibri"/>
                <w:b w:val="0"/>
                <w:sz w:val="20"/>
              </w:rPr>
              <w:t>750.00</w:t>
            </w:r>
          </w:p>
        </w:tc>
        <w:tc>
          <w:tcPr>
            <w:tcW w:type="dxa" w:w="1440"/>
            <w:vAlign w:val="center"/>
          </w:tcPr>
          <w:p>
            <w:r/>
            <w:r>
              <w:rPr>
                <w:rFonts w:ascii="Calibri" w:hAnsi="Calibri"/>
                <w:b w:val="0"/>
                <w:sz w:val="20"/>
              </w:rPr>
              <w:t>735.00</w:t>
            </w:r>
          </w:p>
        </w:tc>
      </w:tr>
      <w:tr>
        <w:tc>
          <w:tcPr>
            <w:tcW w:type="dxa" w:w="1440"/>
            <w:vAlign w:val="center"/>
          </w:tcPr>
          <w:p>
            <w:r/>
            <w:r>
              <w:rPr>
                <w:rFonts w:ascii="Calibri" w:hAnsi="Calibri"/>
                <w:b w:val="0"/>
                <w:sz w:val="20"/>
              </w:rPr>
              <w:t>ENGRO</w:t>
            </w:r>
          </w:p>
        </w:tc>
        <w:tc>
          <w:tcPr>
            <w:tcW w:type="dxa" w:w="1440"/>
            <w:vAlign w:val="center"/>
          </w:tcPr>
          <w:p>
            <w:r/>
            <w:r>
              <w:rPr>
                <w:rFonts w:ascii="Calibri" w:hAnsi="Calibri"/>
                <w:b w:val="0"/>
                <w:sz w:val="20"/>
              </w:rPr>
              <w:t>310.40</w:t>
            </w:r>
          </w:p>
        </w:tc>
        <w:tc>
          <w:tcPr>
            <w:tcW w:type="dxa" w:w="1584"/>
            <w:vAlign w:val="center"/>
          </w:tcPr>
          <w:p>
            <w:r/>
            <w:r>
              <w:rPr>
                <w:rFonts w:ascii="Calibri" w:hAnsi="Calibri"/>
                <w:b w:val="0"/>
                <w:sz w:val="20"/>
              </w:rPr>
              <w:t>11000</w:t>
            </w:r>
          </w:p>
        </w:tc>
        <w:tc>
          <w:tcPr>
            <w:tcW w:type="dxa" w:w="1440"/>
            <w:vAlign w:val="center"/>
          </w:tcPr>
          <w:p>
            <w:r/>
            <w:r>
              <w:rPr>
                <w:rFonts w:ascii="Calibri" w:hAnsi="Calibri"/>
                <w:b w:val="0"/>
                <w:sz w:val="20"/>
              </w:rPr>
              <w:t>315.00</w:t>
            </w:r>
          </w:p>
        </w:tc>
        <w:tc>
          <w:tcPr>
            <w:tcW w:type="dxa" w:w="1440"/>
            <w:vAlign w:val="center"/>
          </w:tcPr>
          <w:p>
            <w:r/>
            <w:r>
              <w:rPr>
                <w:rFonts w:ascii="Calibri" w:hAnsi="Calibri"/>
                <w:b w:val="0"/>
                <w:sz w:val="20"/>
              </w:rPr>
              <w:t>305.50</w:t>
            </w:r>
          </w:p>
        </w:tc>
      </w:tr>
    </w:tbl>
    <w:p>
      <w:pPr>
        <w:pStyle w:val="Heading2"/>
      </w:pPr>
      <w:r>
        <w:rPr>
          <w:rFonts w:ascii="Calibri" w:hAnsi="Calibri"/>
          <w:color w:val="212529"/>
          <w:sz w:val="26"/>
        </w:rPr>
        <w:t>4. Kafka Producer</w:t>
      </w:r>
    </w:p>
    <w:p>
      <w:pPr>
        <w:spacing w:after="120" w:line="259" w:lineRule="auto"/>
      </w:pPr>
      <w:r>
        <w:rPr>
          <w:rFonts w:ascii="Calibri" w:hAnsi="Calibri"/>
          <w:sz w:val="22"/>
        </w:rPr>
        <w:t>The Kafka producer reads a random row from the sample PSX dataset and converts it into a simulated live market tick. It slightly changes the price and volume so the stream behaves like real-time data.</w:t>
      </w:r>
    </w:p>
    <w:p>
      <w:pPr>
        <w:pStyle w:val="ListBullet"/>
        <w:spacing w:after="60"/>
      </w:pPr>
      <w:r>
        <w:rPr>
          <w:rFonts w:ascii="Calibri" w:hAnsi="Calibri"/>
          <w:sz w:val="21"/>
        </w:rPr>
        <w:t>Main file: kafka_layer/producer.py.</w:t>
      </w:r>
    </w:p>
    <w:p>
      <w:pPr>
        <w:pStyle w:val="ListBullet"/>
        <w:spacing w:after="60"/>
      </w:pPr>
      <w:r>
        <w:rPr>
          <w:rFonts w:ascii="Calibri" w:hAnsi="Calibri"/>
          <w:sz w:val="21"/>
        </w:rPr>
        <w:t>Function generate_live_tick(row) creates symbol, price, volume, high, low, and timestamp.</w:t>
      </w:r>
    </w:p>
    <w:p>
      <w:pPr>
        <w:pStyle w:val="ListBullet"/>
        <w:spacing w:after="60"/>
      </w:pPr>
      <w:r>
        <w:rPr>
          <w:rFonts w:ascii="Calibri" w:hAnsi="Calibri"/>
          <w:sz w:val="21"/>
        </w:rPr>
        <w:t>Messages are serialized as JSON and sent to the configured Kafka topic.</w:t>
      </w:r>
    </w:p>
    <w:p>
      <w:pPr>
        <w:pStyle w:val="ListBullet"/>
        <w:spacing w:after="60"/>
      </w:pPr>
      <w:r>
        <w:rPr>
          <w:rFonts w:ascii="Calibri" w:hAnsi="Calibri"/>
          <w:sz w:val="21"/>
        </w:rPr>
        <w:t>The default topic is psx-stock-prices.</w:t>
      </w:r>
    </w:p>
    <w:p>
      <w:pPr>
        <w:pStyle w:val="Heading2"/>
      </w:pPr>
      <w:r>
        <w:rPr>
          <w:rFonts w:ascii="Calibri" w:hAnsi="Calibri"/>
          <w:color w:val="212529"/>
          <w:sz w:val="26"/>
        </w:rPr>
        <w:t>5. Kafka Consumer</w:t>
      </w:r>
    </w:p>
    <w:p>
      <w:pPr>
        <w:spacing w:after="120" w:line="259" w:lineRule="auto"/>
      </w:pPr>
      <w:r>
        <w:rPr>
          <w:rFonts w:ascii="Calibri" w:hAnsi="Calibri"/>
          <w:sz w:val="22"/>
        </w:rPr>
        <w:t>A Kafka consumer was implemented to subscribe to the PSX topic and read the JSON messages. This helps verify that the producer is publishing correctly and that the topic can be consumed by downstream systems.</w:t>
      </w:r>
    </w:p>
    <w:p>
      <w:pPr>
        <w:pStyle w:val="ListBullet"/>
        <w:spacing w:after="60"/>
      </w:pPr>
      <w:r>
        <w:rPr>
          <w:rFonts w:ascii="Calibri" w:hAnsi="Calibri"/>
          <w:sz w:val="21"/>
        </w:rPr>
        <w:t>Main file: kafka_layer/consumer.py.</w:t>
      </w:r>
    </w:p>
    <w:p>
      <w:pPr>
        <w:pStyle w:val="ListBullet"/>
        <w:spacing w:after="60"/>
      </w:pPr>
      <w:r>
        <w:rPr>
          <w:rFonts w:ascii="Calibri" w:hAnsi="Calibri"/>
          <w:sz w:val="21"/>
        </w:rPr>
        <w:t>Consumer group: psx-consumer-group.</w:t>
      </w:r>
    </w:p>
    <w:p>
      <w:pPr>
        <w:pStyle w:val="ListBullet"/>
        <w:spacing w:after="60"/>
      </w:pPr>
      <w:r>
        <w:rPr>
          <w:rFonts w:ascii="Calibri" w:hAnsi="Calibri"/>
          <w:sz w:val="21"/>
        </w:rPr>
        <w:t>JSON messages are deserialized into Python dictionaries.</w:t>
      </w:r>
    </w:p>
    <w:p>
      <w:pPr>
        <w:pStyle w:val="ListBullet"/>
        <w:spacing w:after="60"/>
      </w:pPr>
      <w:r>
        <w:rPr>
          <w:rFonts w:ascii="Calibri" w:hAnsi="Calibri"/>
          <w:sz w:val="21"/>
        </w:rPr>
        <w:t>Includes broker availability error handling for local development.</w:t>
      </w:r>
    </w:p>
    <w:p>
      <w:pPr>
        <w:pStyle w:val="Heading2"/>
      </w:pPr>
      <w:r>
        <w:rPr>
          <w:rFonts w:ascii="Calibri" w:hAnsi="Calibri"/>
          <w:color w:val="212529"/>
          <w:sz w:val="26"/>
        </w:rPr>
        <w:t>6. PySpark Stream Processor</w:t>
      </w:r>
    </w:p>
    <w:p>
      <w:pPr>
        <w:spacing w:after="120" w:line="259" w:lineRule="auto"/>
      </w:pPr>
      <w:r>
        <w:rPr>
          <w:rFonts w:ascii="Calibri" w:hAnsi="Calibri"/>
          <w:sz w:val="22"/>
        </w:rPr>
        <w:t>The Spark layer was connected to the Kafka stream. The processor creates a Spark session, loads the Kafka connector, reads messages from Kafka, parses JSON values into a typed schema, and writes parsed rows to the console for verification.</w:t>
      </w:r>
    </w:p>
    <w:p>
      <w:pPr>
        <w:pStyle w:val="ListBullet"/>
        <w:spacing w:after="60"/>
      </w:pPr>
      <w:r>
        <w:rPr>
          <w:rFonts w:ascii="Calibri" w:hAnsi="Calibri"/>
          <w:sz w:val="21"/>
        </w:rPr>
        <w:t>Main file: spark_layer/stream_processor.py.</w:t>
      </w:r>
    </w:p>
    <w:p>
      <w:pPr>
        <w:pStyle w:val="ListBullet"/>
        <w:spacing w:after="60"/>
      </w:pPr>
      <w:r>
        <w:rPr>
          <w:rFonts w:ascii="Calibri" w:hAnsi="Calibri"/>
          <w:sz w:val="21"/>
        </w:rPr>
        <w:t>Spark application name: PSX Kafka Stream Processor.</w:t>
      </w:r>
    </w:p>
    <w:p>
      <w:pPr>
        <w:pStyle w:val="ListBullet"/>
        <w:spacing w:after="60"/>
      </w:pPr>
      <w:r>
        <w:rPr>
          <w:rFonts w:ascii="Calibri" w:hAnsi="Calibri"/>
          <w:sz w:val="21"/>
        </w:rPr>
        <w:t>Spark version verified locally: 4.1.1.</w:t>
      </w:r>
    </w:p>
    <w:p>
      <w:pPr>
        <w:pStyle w:val="ListBullet"/>
        <w:spacing w:after="60"/>
      </w:pPr>
      <w:r>
        <w:rPr>
          <w:rFonts w:ascii="Calibri" w:hAnsi="Calibri"/>
          <w:sz w:val="21"/>
        </w:rPr>
        <w:t>Kafka connector package is selected based on Spark/Scala version.</w:t>
      </w:r>
    </w:p>
    <w:p>
      <w:pPr>
        <w:pStyle w:val="ListBullet"/>
        <w:spacing w:after="60"/>
      </w:pPr>
      <w:r>
        <w:rPr>
          <w:rFonts w:ascii="Calibri" w:hAnsi="Calibri"/>
          <w:sz w:val="21"/>
        </w:rPr>
        <w:t>Windows Hadoop support is configured through local .hadoop files.</w:t>
      </w:r>
    </w:p>
    <w:p>
      <w:pPr>
        <w:pStyle w:val="ListBullet"/>
        <w:spacing w:after="60"/>
      </w:pPr>
      <w:r>
        <w:rPr>
          <w:rFonts w:ascii="Calibri" w:hAnsi="Calibri"/>
          <w:sz w:val="21"/>
        </w:rPr>
        <w:t>The stream schema includes symbol, price, volume, high, low, and timestamp.</w:t>
      </w:r>
    </w:p>
    <w:p>
      <w:pPr>
        <w:pStyle w:val="Heading2"/>
      </w:pPr>
      <w:r>
        <w:rPr>
          <w:rFonts w:ascii="Calibri" w:hAnsi="Calibri"/>
          <w:color w:val="212529"/>
          <w:sz w:val="26"/>
        </w:rPr>
        <w:t>7. Windows Hadoop Support</w:t>
      </w:r>
    </w:p>
    <w:p>
      <w:pPr>
        <w:spacing w:after="120" w:line="259" w:lineRule="auto"/>
      </w:pPr>
      <w:r>
        <w:rPr>
          <w:rFonts w:ascii="Calibri" w:hAnsi="Calibri"/>
          <w:sz w:val="22"/>
        </w:rPr>
        <w:t>Because the project is running on Windows, Spark requires supporting Hadoop utilities. A local .hadoop folder was prepared with winutils.exe, hadoop.dll, and core-site.xml. The Spark processor checks this folder and sets HADOOP_HOME, HADOOP_CONF_DIR, and PATH where needed.</w:t>
      </w:r>
    </w:p>
    <w:p>
      <w:pPr>
        <w:pStyle w:val="Heading2"/>
      </w:pPr>
      <w:r>
        <w:rPr>
          <w:rFonts w:ascii="Calibri" w:hAnsi="Calibri"/>
          <w:color w:val="212529"/>
          <w:sz w:val="26"/>
        </w:rPr>
        <w:t>8. Spark Runner</w:t>
      </w:r>
    </w:p>
    <w:p>
      <w:pPr>
        <w:spacing w:after="120" w:line="259" w:lineRule="auto"/>
      </w:pPr>
      <w:r>
        <w:rPr>
          <w:rFonts w:ascii="Calibri" w:hAnsi="Calibri"/>
          <w:sz w:val="22"/>
        </w:rPr>
        <w:t>A helper runner file was added so the stream processor can be started directly through Python instead of requiring a manual spark-submit command.</w:t>
      </w:r>
    </w:p>
    <w:p>
      <w:pPr>
        <w:pStyle w:val="ListBullet"/>
        <w:spacing w:after="60"/>
      </w:pPr>
      <w:r>
        <w:rPr>
          <w:rFonts w:ascii="Calibri" w:hAnsi="Calibri"/>
          <w:sz w:val="21"/>
        </w:rPr>
        <w:t>Main file: run_spark_stream.py.</w:t>
      </w:r>
    </w:p>
    <w:p>
      <w:pPr>
        <w:pStyle w:val="ListBullet"/>
        <w:spacing w:after="60"/>
      </w:pPr>
      <w:r>
        <w:rPr>
          <w:rFonts w:ascii="Calibri" w:hAnsi="Calibri"/>
          <w:sz w:val="21"/>
        </w:rPr>
        <w:t>Checks whether PySpark is installed before running.</w:t>
      </w:r>
    </w:p>
    <w:p>
      <w:pPr>
        <w:pStyle w:val="ListBullet"/>
        <w:spacing w:after="60"/>
      </w:pPr>
      <w:r>
        <w:rPr>
          <w:rFonts w:ascii="Calibri" w:hAnsi="Calibri"/>
          <w:sz w:val="21"/>
        </w:rPr>
        <w:t>Imports and starts spark_layer.stream_processor.main().</w:t>
      </w:r>
    </w:p>
    <w:p>
      <w:pPr>
        <w:pStyle w:val="ListBullet"/>
        <w:spacing w:after="60"/>
      </w:pPr>
      <w:r>
        <w:rPr>
          <w:rFonts w:ascii="Calibri" w:hAnsi="Calibri"/>
          <w:sz w:val="21"/>
        </w:rPr>
        <w:t>Handles Ctrl+C and error messages for easier local execution.</w:t>
      </w:r>
    </w:p>
    <w:p>
      <w:pPr>
        <w:pStyle w:val="Heading1"/>
      </w:pPr>
      <w:r>
        <w:rPr>
          <w:rFonts w:ascii="Calibri" w:hAnsi="Calibri"/>
          <w:color w:val="1F4E79"/>
          <w:sz w:val="32"/>
        </w:rPr>
        <w:t>Technical Data Contract</w:t>
      </w:r>
    </w:p>
    <w:p>
      <w:pPr>
        <w:spacing w:after="120" w:line="259" w:lineRule="auto"/>
      </w:pPr>
      <w:r>
        <w:rPr>
          <w:rFonts w:ascii="Calibri" w:hAnsi="Calibri"/>
          <w:sz w:val="22"/>
        </w:rPr>
        <w:t>The Week 1 pipeline uses a simple but clear market tick contract. This contract is important because Kafka, Spark, RAG, sentiment, agents, and dashboard modules will all depend on consistent data fields.</w:t>
      </w:r>
    </w:p>
    <w:tbl>
      <w:tblPr>
        <w:tblStyle w:val="TableGrid"/>
        <w:tblW w:type="auto" w:w="0"/>
        <w:jc w:val="center"/>
        <w:tblLook w:firstColumn="1" w:firstRow="1" w:lastColumn="0" w:lastRow="0" w:noHBand="0" w:noVBand="1" w:val="04A0"/>
      </w:tblPr>
      <w:tblGrid>
        <w:gridCol w:w="3331"/>
        <w:gridCol w:w="3331"/>
        <w:gridCol w:w="3331"/>
      </w:tblGrid>
      <w:tr>
        <w:tc>
          <w:tcPr>
            <w:tcW w:type="dxa" w:w="2016"/>
            <w:vAlign w:val="center"/>
            <w:shd w:fill="1F4E79"/>
          </w:tcPr>
          <w:p>
            <w:r/>
            <w:r>
              <w:rPr>
                <w:rFonts w:ascii="Calibri" w:hAnsi="Calibri"/>
                <w:b/>
                <w:color w:val="FFFFFF"/>
                <w:sz w:val="20"/>
              </w:rPr>
              <w:t>Field</w:t>
            </w:r>
          </w:p>
        </w:tc>
        <w:tc>
          <w:tcPr>
            <w:tcW w:type="dxa" w:w="1728"/>
            <w:vAlign w:val="center"/>
            <w:shd w:fill="1F4E79"/>
          </w:tcPr>
          <w:p>
            <w:r/>
            <w:r>
              <w:rPr>
                <w:rFonts w:ascii="Calibri" w:hAnsi="Calibri"/>
                <w:b/>
                <w:color w:val="FFFFFF"/>
                <w:sz w:val="20"/>
              </w:rPr>
              <w:t>Type</w:t>
            </w:r>
          </w:p>
        </w:tc>
        <w:tc>
          <w:tcPr>
            <w:tcW w:type="dxa" w:w="6480"/>
            <w:vAlign w:val="center"/>
            <w:shd w:fill="1F4E79"/>
          </w:tcPr>
          <w:p>
            <w:r/>
            <w:r>
              <w:rPr>
                <w:rFonts w:ascii="Calibri" w:hAnsi="Calibri"/>
                <w:b/>
                <w:color w:val="FFFFFF"/>
                <w:sz w:val="20"/>
              </w:rPr>
              <w:t>Purpose</w:t>
            </w:r>
          </w:p>
        </w:tc>
      </w:tr>
      <w:tr>
        <w:tc>
          <w:tcPr>
            <w:tcW w:type="dxa" w:w="2016"/>
            <w:vAlign w:val="center"/>
          </w:tcPr>
          <w:p>
            <w:r/>
            <w:r>
              <w:rPr>
                <w:rFonts w:ascii="Calibri" w:hAnsi="Calibri"/>
                <w:b w:val="0"/>
                <w:sz w:val="20"/>
              </w:rPr>
              <w:t>symbol</w:t>
            </w:r>
          </w:p>
        </w:tc>
        <w:tc>
          <w:tcPr>
            <w:tcW w:type="dxa" w:w="1728"/>
            <w:vAlign w:val="center"/>
          </w:tcPr>
          <w:p>
            <w:r/>
            <w:r>
              <w:rPr>
                <w:rFonts w:ascii="Calibri" w:hAnsi="Calibri"/>
                <w:b w:val="0"/>
                <w:sz w:val="20"/>
              </w:rPr>
              <w:t>String</w:t>
            </w:r>
          </w:p>
        </w:tc>
        <w:tc>
          <w:tcPr>
            <w:tcW w:type="dxa" w:w="6480"/>
            <w:vAlign w:val="center"/>
          </w:tcPr>
          <w:p>
            <w:r/>
            <w:r>
              <w:rPr>
                <w:rFonts w:ascii="Calibri" w:hAnsi="Calibri"/>
                <w:b w:val="0"/>
                <w:sz w:val="20"/>
              </w:rPr>
              <w:t>PSX stock/company symbol such as HBL or UBL.</w:t>
            </w:r>
          </w:p>
        </w:tc>
      </w:tr>
      <w:tr>
        <w:tc>
          <w:tcPr>
            <w:tcW w:type="dxa" w:w="2016"/>
            <w:vAlign w:val="center"/>
          </w:tcPr>
          <w:p>
            <w:r/>
            <w:r>
              <w:rPr>
                <w:rFonts w:ascii="Calibri" w:hAnsi="Calibri"/>
                <w:b w:val="0"/>
                <w:sz w:val="20"/>
              </w:rPr>
              <w:t>price</w:t>
            </w:r>
          </w:p>
        </w:tc>
        <w:tc>
          <w:tcPr>
            <w:tcW w:type="dxa" w:w="1728"/>
            <w:vAlign w:val="center"/>
          </w:tcPr>
          <w:p>
            <w:r/>
            <w:r>
              <w:rPr>
                <w:rFonts w:ascii="Calibri" w:hAnsi="Calibri"/>
                <w:b w:val="0"/>
                <w:sz w:val="20"/>
              </w:rPr>
              <w:t>Double</w:t>
            </w:r>
          </w:p>
        </w:tc>
        <w:tc>
          <w:tcPr>
            <w:tcW w:type="dxa" w:w="6480"/>
            <w:vAlign w:val="center"/>
          </w:tcPr>
          <w:p>
            <w:r/>
            <w:r>
              <w:rPr>
                <w:rFonts w:ascii="Calibri" w:hAnsi="Calibri"/>
                <w:b w:val="0"/>
                <w:sz w:val="20"/>
              </w:rPr>
              <w:t>Latest simulated trading price.</w:t>
            </w:r>
          </w:p>
        </w:tc>
      </w:tr>
      <w:tr>
        <w:tc>
          <w:tcPr>
            <w:tcW w:type="dxa" w:w="2016"/>
            <w:vAlign w:val="center"/>
          </w:tcPr>
          <w:p>
            <w:r/>
            <w:r>
              <w:rPr>
                <w:rFonts w:ascii="Calibri" w:hAnsi="Calibri"/>
                <w:b w:val="0"/>
                <w:sz w:val="20"/>
              </w:rPr>
              <w:t>volume</w:t>
            </w:r>
          </w:p>
        </w:tc>
        <w:tc>
          <w:tcPr>
            <w:tcW w:type="dxa" w:w="1728"/>
            <w:vAlign w:val="center"/>
          </w:tcPr>
          <w:p>
            <w:r/>
            <w:r>
              <w:rPr>
                <w:rFonts w:ascii="Calibri" w:hAnsi="Calibri"/>
                <w:b w:val="0"/>
                <w:sz w:val="20"/>
              </w:rPr>
              <w:t>Long</w:t>
            </w:r>
          </w:p>
        </w:tc>
        <w:tc>
          <w:tcPr>
            <w:tcW w:type="dxa" w:w="6480"/>
            <w:vAlign w:val="center"/>
          </w:tcPr>
          <w:p>
            <w:r/>
            <w:r>
              <w:rPr>
                <w:rFonts w:ascii="Calibri" w:hAnsi="Calibri"/>
                <w:b w:val="0"/>
                <w:sz w:val="20"/>
              </w:rPr>
              <w:t>Simulated traded volume.</w:t>
            </w:r>
          </w:p>
        </w:tc>
      </w:tr>
      <w:tr>
        <w:tc>
          <w:tcPr>
            <w:tcW w:type="dxa" w:w="2016"/>
            <w:vAlign w:val="center"/>
          </w:tcPr>
          <w:p>
            <w:r/>
            <w:r>
              <w:rPr>
                <w:rFonts w:ascii="Calibri" w:hAnsi="Calibri"/>
                <w:b w:val="0"/>
                <w:sz w:val="20"/>
              </w:rPr>
              <w:t>high</w:t>
            </w:r>
          </w:p>
        </w:tc>
        <w:tc>
          <w:tcPr>
            <w:tcW w:type="dxa" w:w="1728"/>
            <w:vAlign w:val="center"/>
          </w:tcPr>
          <w:p>
            <w:r/>
            <w:r>
              <w:rPr>
                <w:rFonts w:ascii="Calibri" w:hAnsi="Calibri"/>
                <w:b w:val="0"/>
                <w:sz w:val="20"/>
              </w:rPr>
              <w:t>Double</w:t>
            </w:r>
          </w:p>
        </w:tc>
        <w:tc>
          <w:tcPr>
            <w:tcW w:type="dxa" w:w="6480"/>
            <w:vAlign w:val="center"/>
          </w:tcPr>
          <w:p>
            <w:r/>
            <w:r>
              <w:rPr>
                <w:rFonts w:ascii="Calibri" w:hAnsi="Calibri"/>
                <w:b w:val="0"/>
                <w:sz w:val="20"/>
              </w:rPr>
              <w:t>Day or sample high price.</w:t>
            </w:r>
          </w:p>
        </w:tc>
      </w:tr>
      <w:tr>
        <w:tc>
          <w:tcPr>
            <w:tcW w:type="dxa" w:w="2016"/>
            <w:vAlign w:val="center"/>
          </w:tcPr>
          <w:p>
            <w:r/>
            <w:r>
              <w:rPr>
                <w:rFonts w:ascii="Calibri" w:hAnsi="Calibri"/>
                <w:b w:val="0"/>
                <w:sz w:val="20"/>
              </w:rPr>
              <w:t>low</w:t>
            </w:r>
          </w:p>
        </w:tc>
        <w:tc>
          <w:tcPr>
            <w:tcW w:type="dxa" w:w="1728"/>
            <w:vAlign w:val="center"/>
          </w:tcPr>
          <w:p>
            <w:r/>
            <w:r>
              <w:rPr>
                <w:rFonts w:ascii="Calibri" w:hAnsi="Calibri"/>
                <w:b w:val="0"/>
                <w:sz w:val="20"/>
              </w:rPr>
              <w:t>Double</w:t>
            </w:r>
          </w:p>
        </w:tc>
        <w:tc>
          <w:tcPr>
            <w:tcW w:type="dxa" w:w="6480"/>
            <w:vAlign w:val="center"/>
          </w:tcPr>
          <w:p>
            <w:r/>
            <w:r>
              <w:rPr>
                <w:rFonts w:ascii="Calibri" w:hAnsi="Calibri"/>
                <w:b w:val="0"/>
                <w:sz w:val="20"/>
              </w:rPr>
              <w:t>Day or sample low price.</w:t>
            </w:r>
          </w:p>
        </w:tc>
      </w:tr>
      <w:tr>
        <w:tc>
          <w:tcPr>
            <w:tcW w:type="dxa" w:w="2016"/>
            <w:vAlign w:val="center"/>
          </w:tcPr>
          <w:p>
            <w:r/>
            <w:r>
              <w:rPr>
                <w:rFonts w:ascii="Calibri" w:hAnsi="Calibri"/>
                <w:b w:val="0"/>
                <w:sz w:val="20"/>
              </w:rPr>
              <w:t>timestamp</w:t>
            </w:r>
          </w:p>
        </w:tc>
        <w:tc>
          <w:tcPr>
            <w:tcW w:type="dxa" w:w="1728"/>
            <w:vAlign w:val="center"/>
          </w:tcPr>
          <w:p>
            <w:r/>
            <w:r>
              <w:rPr>
                <w:rFonts w:ascii="Calibri" w:hAnsi="Calibri"/>
                <w:b w:val="0"/>
                <w:sz w:val="20"/>
              </w:rPr>
              <w:t>String</w:t>
            </w:r>
          </w:p>
        </w:tc>
        <w:tc>
          <w:tcPr>
            <w:tcW w:type="dxa" w:w="6480"/>
            <w:vAlign w:val="center"/>
          </w:tcPr>
          <w:p>
            <w:r/>
            <w:r>
              <w:rPr>
                <w:rFonts w:ascii="Calibri" w:hAnsi="Calibri"/>
                <w:b w:val="0"/>
                <w:sz w:val="20"/>
              </w:rPr>
              <w:t>ISO timestamp showing when the tick was generated.</w:t>
            </w:r>
          </w:p>
        </w:tc>
      </w:tr>
    </w:tbl>
    <w:p>
      <w:pPr>
        <w:pStyle w:val="Heading1"/>
      </w:pPr>
      <w:r>
        <w:rPr>
          <w:rFonts w:ascii="Calibri" w:hAnsi="Calibri"/>
          <w:color w:val="1F4E79"/>
          <w:sz w:val="32"/>
        </w:rPr>
        <w:t>Setup and Run Steps</w:t>
      </w:r>
    </w:p>
    <w:p>
      <w:pPr>
        <w:spacing w:after="120" w:line="259" w:lineRule="auto"/>
      </w:pPr>
      <w:r>
        <w:rPr>
          <w:rFonts w:ascii="Calibri" w:hAnsi="Calibri"/>
          <w:sz w:val="22"/>
        </w:rPr>
        <w:t>The following steps document how the Week 1 work can be reproduced on the local machine.</w:t>
      </w:r>
    </w:p>
    <w:p>
      <w:pPr>
        <w:pStyle w:val="ListNumber"/>
        <w:spacing w:after="60"/>
      </w:pPr>
      <w:r>
        <w:rPr>
          <w:rFonts w:ascii="Calibri" w:hAnsi="Calibri"/>
          <w:sz w:val="21"/>
        </w:rPr>
        <w:t>Open PowerShell in the project directory: C:\Users\malik\Desktop\PSX-Intelligence-System.</w:t>
      </w:r>
    </w:p>
    <w:p>
      <w:pPr>
        <w:pStyle w:val="ListNumber"/>
        <w:spacing w:after="60"/>
      </w:pPr>
      <w:r>
        <w:rPr>
          <w:rFonts w:ascii="Calibri" w:hAnsi="Calibri"/>
          <w:sz w:val="21"/>
        </w:rPr>
        <w:t>Install Python dependencies using requirements.txt.</w:t>
      </w:r>
    </w:p>
    <w:p>
      <w:pPr>
        <w:pStyle w:val="ListNumber"/>
        <w:spacing w:after="60"/>
      </w:pPr>
      <w:r>
        <w:rPr>
          <w:rFonts w:ascii="Calibri" w:hAnsi="Calibri"/>
          <w:sz w:val="21"/>
        </w:rPr>
        <w:t>Verify Docker and Docker Compose installation.</w:t>
      </w:r>
    </w:p>
    <w:p>
      <w:pPr>
        <w:pStyle w:val="ListNumber"/>
        <w:spacing w:after="60"/>
      </w:pPr>
      <w:r>
        <w:rPr>
          <w:rFonts w:ascii="Calibri" w:hAnsi="Calibri"/>
          <w:sz w:val="21"/>
        </w:rPr>
        <w:t>Start Kafka and Zookeeper through Docker Compose when running the live demo.</w:t>
      </w:r>
    </w:p>
    <w:p>
      <w:pPr>
        <w:pStyle w:val="ListNumber"/>
        <w:spacing w:after="60"/>
      </w:pPr>
      <w:r>
        <w:rPr>
          <w:rFonts w:ascii="Calibri" w:hAnsi="Calibri"/>
          <w:sz w:val="21"/>
        </w:rPr>
        <w:t>Run the Kafka producer to generate sample live PSX ticks.</w:t>
      </w:r>
    </w:p>
    <w:p>
      <w:pPr>
        <w:pStyle w:val="ListNumber"/>
        <w:spacing w:after="60"/>
      </w:pPr>
      <w:r>
        <w:rPr>
          <w:rFonts w:ascii="Calibri" w:hAnsi="Calibri"/>
          <w:sz w:val="21"/>
        </w:rPr>
        <w:t>Optionally run the Kafka consumer to verify messages.</w:t>
      </w:r>
    </w:p>
    <w:p>
      <w:pPr>
        <w:pStyle w:val="ListNumber"/>
        <w:spacing w:after="60"/>
      </w:pPr>
      <w:r>
        <w:rPr>
          <w:rFonts w:ascii="Calibri" w:hAnsi="Calibri"/>
          <w:sz w:val="21"/>
        </w:rPr>
        <w:t>Run the PySpark stream processor to read and parse Kafka messages.</w:t>
      </w:r>
    </w:p>
    <w:p>
      <w:pPr>
        <w:pStyle w:val="ListNumber"/>
        <w:spacing w:after="60"/>
      </w:pPr>
      <w:r>
        <w:rPr>
          <w:rFonts w:ascii="Calibri" w:hAnsi="Calibri"/>
          <w:sz w:val="21"/>
        </w:rPr>
        <w:t>Run pytest with PYTHONPATH set to verify the current unit test.</w:t>
      </w:r>
    </w:p>
    <w:tbl>
      <w:tblPr>
        <w:tblW w:type="auto" w:w="0"/>
        <w:jc w:val="center"/>
        <w:tblLook w:firstColumn="1" w:firstRow="1" w:lastColumn="0" w:lastRow="0" w:noHBand="0" w:noVBand="1" w:val="04A0"/>
      </w:tblPr>
      <w:tblGrid>
        <w:gridCol w:w="9994"/>
      </w:tblGrid>
      <w:tr>
        <w:tc>
          <w:tcPr>
            <w:tcW w:type="dxa" w:w="9994"/>
            <w:shd w:fill="F2F2F2"/>
          </w:tcPr>
          <w:p>
            <w:r/>
            <w:r>
              <w:rPr>
                <w:rFonts w:ascii="Consolas" w:hAnsi="Consolas" w:eastAsia="Consolas"/>
                <w:sz w:val="18"/>
              </w:rPr>
              <w:t>python -m pip install -r requirements.txt</w:t>
            </w:r>
            <w:r>
              <w:br/>
            </w:r>
            <w:r>
              <w:rPr>
                <w:rFonts w:ascii="Consolas" w:hAnsi="Consolas" w:eastAsia="Consolas"/>
                <w:sz w:val="18"/>
              </w:rPr>
              <w:t>docker --version</w:t>
            </w:r>
            <w:r>
              <w:br/>
            </w:r>
            <w:r>
              <w:rPr>
                <w:rFonts w:ascii="Consolas" w:hAnsi="Consolas" w:eastAsia="Consolas"/>
                <w:sz w:val="18"/>
              </w:rPr>
              <w:t>docker compose version</w:t>
            </w:r>
            <w:r>
              <w:br/>
            </w:r>
            <w:r>
              <w:rPr>
                <w:rFonts w:ascii="Consolas" w:hAnsi="Consolas" w:eastAsia="Consolas"/>
                <w:sz w:val="18"/>
              </w:rPr>
              <w:t>docker compose up -d</w:t>
            </w:r>
            <w:r>
              <w:br/>
            </w:r>
            <w:r>
              <w:rPr>
                <w:rFonts w:ascii="Consolas" w:hAnsi="Consolas" w:eastAsia="Consolas"/>
                <w:sz w:val="18"/>
              </w:rPr>
              <w:t>python kafka_layer/producer.py</w:t>
            </w:r>
            <w:r>
              <w:br/>
            </w:r>
            <w:r>
              <w:rPr>
                <w:rFonts w:ascii="Consolas" w:hAnsi="Consolas" w:eastAsia="Consolas"/>
                <w:sz w:val="18"/>
              </w:rPr>
              <w:t>python kafka_layer/consumer.py</w:t>
            </w:r>
            <w:r>
              <w:br/>
            </w:r>
            <w:r>
              <w:rPr>
                <w:rFonts w:ascii="Consolas" w:hAnsi="Consolas" w:eastAsia="Consolas"/>
                <w:sz w:val="18"/>
              </w:rPr>
              <w:t>python run_spark_stream.py</w:t>
            </w:r>
            <w:r>
              <w:br/>
            </w:r>
            <w:r>
              <w:rPr>
                <w:rFonts w:ascii="Consolas" w:hAnsi="Consolas" w:eastAsia="Consolas"/>
                <w:sz w:val="18"/>
              </w:rPr>
              <w:t>$env:PYTHONPATH=(Get-Location).Path; pytest -q</w:t>
            </w:r>
          </w:p>
        </w:tc>
      </w:tr>
    </w:tbl>
    <w:p/>
    <w:p>
      <w:pPr>
        <w:pStyle w:val="Heading1"/>
      </w:pPr>
      <w:r>
        <w:rPr>
          <w:rFonts w:ascii="Calibri" w:hAnsi="Calibri"/>
          <w:color w:val="1F4E79"/>
          <w:sz w:val="32"/>
        </w:rPr>
        <w:t>Verification Evidence</w:t>
      </w:r>
    </w:p>
    <w:tbl>
      <w:tblPr>
        <w:tblStyle w:val="TableGrid"/>
        <w:tblW w:type="auto" w:w="0"/>
        <w:jc w:val="center"/>
        <w:tblLook w:firstColumn="1" w:firstRow="1" w:lastColumn="0" w:lastRow="0" w:noHBand="0" w:noVBand="1" w:val="04A0"/>
      </w:tblPr>
      <w:tblGrid>
        <w:gridCol w:w="3331"/>
        <w:gridCol w:w="3331"/>
        <w:gridCol w:w="3331"/>
      </w:tblGrid>
      <w:tr>
        <w:tc>
          <w:tcPr>
            <w:tcW w:type="dxa" w:w="2592"/>
            <w:vAlign w:val="center"/>
            <w:shd w:fill="1F4E79"/>
          </w:tcPr>
          <w:p>
            <w:r/>
            <w:r>
              <w:rPr>
                <w:rFonts w:ascii="Calibri" w:hAnsi="Calibri"/>
                <w:b/>
                <w:color w:val="FFFFFF"/>
                <w:sz w:val="20"/>
              </w:rPr>
              <w:t>Check</w:t>
            </w:r>
          </w:p>
        </w:tc>
        <w:tc>
          <w:tcPr>
            <w:tcW w:type="dxa" w:w="1728"/>
            <w:vAlign w:val="center"/>
            <w:shd w:fill="1F4E79"/>
          </w:tcPr>
          <w:p>
            <w:r/>
            <w:r>
              <w:rPr>
                <w:rFonts w:ascii="Calibri" w:hAnsi="Calibri"/>
                <w:b/>
                <w:color w:val="FFFFFF"/>
                <w:sz w:val="20"/>
              </w:rPr>
              <w:t>Result</w:t>
            </w:r>
          </w:p>
        </w:tc>
        <w:tc>
          <w:tcPr>
            <w:tcW w:type="dxa" w:w="6336"/>
            <w:vAlign w:val="center"/>
            <w:shd w:fill="1F4E79"/>
          </w:tcPr>
          <w:p>
            <w:r/>
            <w:r>
              <w:rPr>
                <w:rFonts w:ascii="Calibri" w:hAnsi="Calibri"/>
                <w:b/>
                <w:color w:val="FFFFFF"/>
                <w:sz w:val="20"/>
              </w:rPr>
              <w:t>Output / Notes</w:t>
            </w:r>
          </w:p>
        </w:tc>
      </w:tr>
      <w:tr>
        <w:tc>
          <w:tcPr>
            <w:tcW w:type="dxa" w:w="2592"/>
            <w:vAlign w:val="center"/>
          </w:tcPr>
          <w:p>
            <w:r/>
            <w:r>
              <w:rPr>
                <w:rFonts w:ascii="Calibri" w:hAnsi="Calibri"/>
                <w:b w:val="0"/>
                <w:sz w:val="20"/>
              </w:rPr>
              <w:t>Docker version</w:t>
            </w:r>
          </w:p>
        </w:tc>
        <w:tc>
          <w:tcPr>
            <w:tcW w:type="dxa" w:w="1728"/>
            <w:vAlign w:val="center"/>
            <w:shd w:fill="E2F0D9"/>
          </w:tcPr>
          <w:p>
            <w:r/>
            <w:r>
              <w:rPr>
                <w:rFonts w:ascii="Calibri" w:hAnsi="Calibri"/>
                <w:b w:val="0"/>
                <w:sz w:val="20"/>
              </w:rPr>
              <w:t>Verified</w:t>
            </w:r>
          </w:p>
        </w:tc>
        <w:tc>
          <w:tcPr>
            <w:tcW w:type="dxa" w:w="6336"/>
            <w:vAlign w:val="center"/>
          </w:tcPr>
          <w:p>
            <w:r/>
            <w:r>
              <w:rPr>
                <w:rFonts w:ascii="Calibri" w:hAnsi="Calibri"/>
                <w:b w:val="0"/>
                <w:sz w:val="20"/>
              </w:rPr>
              <w:t>Docker version 29.4.1, build 055a478.</w:t>
            </w:r>
          </w:p>
        </w:tc>
      </w:tr>
      <w:tr>
        <w:tc>
          <w:tcPr>
            <w:tcW w:type="dxa" w:w="2592"/>
            <w:vAlign w:val="center"/>
          </w:tcPr>
          <w:p>
            <w:r/>
            <w:r>
              <w:rPr>
                <w:rFonts w:ascii="Calibri" w:hAnsi="Calibri"/>
                <w:b w:val="0"/>
                <w:sz w:val="20"/>
              </w:rPr>
              <w:t>Docker Compose version</w:t>
            </w:r>
          </w:p>
        </w:tc>
        <w:tc>
          <w:tcPr>
            <w:tcW w:type="dxa" w:w="1728"/>
            <w:vAlign w:val="center"/>
            <w:shd w:fill="E2F0D9"/>
          </w:tcPr>
          <w:p>
            <w:r/>
            <w:r>
              <w:rPr>
                <w:rFonts w:ascii="Calibri" w:hAnsi="Calibri"/>
                <w:b w:val="0"/>
                <w:sz w:val="20"/>
              </w:rPr>
              <w:t>Verified</w:t>
            </w:r>
          </w:p>
        </w:tc>
        <w:tc>
          <w:tcPr>
            <w:tcW w:type="dxa" w:w="6336"/>
            <w:vAlign w:val="center"/>
          </w:tcPr>
          <w:p>
            <w:r/>
            <w:r>
              <w:rPr>
                <w:rFonts w:ascii="Calibri" w:hAnsi="Calibri"/>
                <w:b w:val="0"/>
                <w:sz w:val="20"/>
              </w:rPr>
              <w:t>Docker Compose version v5.1.3.</w:t>
            </w:r>
          </w:p>
        </w:tc>
      </w:tr>
      <w:tr>
        <w:tc>
          <w:tcPr>
            <w:tcW w:type="dxa" w:w="2592"/>
            <w:vAlign w:val="center"/>
          </w:tcPr>
          <w:p>
            <w:r/>
            <w:r>
              <w:rPr>
                <w:rFonts w:ascii="Calibri" w:hAnsi="Calibri"/>
                <w:b w:val="0"/>
                <w:sz w:val="20"/>
              </w:rPr>
              <w:t>Compose services</w:t>
            </w:r>
          </w:p>
        </w:tc>
        <w:tc>
          <w:tcPr>
            <w:tcW w:type="dxa" w:w="1728"/>
            <w:vAlign w:val="center"/>
            <w:shd w:fill="E2F0D9"/>
          </w:tcPr>
          <w:p>
            <w:r/>
            <w:r>
              <w:rPr>
                <w:rFonts w:ascii="Calibri" w:hAnsi="Calibri"/>
                <w:b w:val="0"/>
                <w:sz w:val="20"/>
              </w:rPr>
              <w:t>Verified</w:t>
            </w:r>
          </w:p>
        </w:tc>
        <w:tc>
          <w:tcPr>
            <w:tcW w:type="dxa" w:w="6336"/>
            <w:vAlign w:val="center"/>
          </w:tcPr>
          <w:p>
            <w:r/>
            <w:r>
              <w:rPr>
                <w:rFonts w:ascii="Calibri" w:hAnsi="Calibri"/>
                <w:b w:val="0"/>
                <w:sz w:val="20"/>
              </w:rPr>
              <w:t>docker compose config --services returned zookeeper and kafka.</w:t>
            </w:r>
          </w:p>
        </w:tc>
      </w:tr>
      <w:tr>
        <w:tc>
          <w:tcPr>
            <w:tcW w:type="dxa" w:w="2592"/>
            <w:vAlign w:val="center"/>
          </w:tcPr>
          <w:p>
            <w:r/>
            <w:r>
              <w:rPr>
                <w:rFonts w:ascii="Calibri" w:hAnsi="Calibri"/>
                <w:b w:val="0"/>
                <w:sz w:val="20"/>
              </w:rPr>
              <w:t>Python version</w:t>
            </w:r>
          </w:p>
        </w:tc>
        <w:tc>
          <w:tcPr>
            <w:tcW w:type="dxa" w:w="1728"/>
            <w:vAlign w:val="center"/>
            <w:shd w:fill="E2F0D9"/>
          </w:tcPr>
          <w:p>
            <w:r/>
            <w:r>
              <w:rPr>
                <w:rFonts w:ascii="Calibri" w:hAnsi="Calibri"/>
                <w:b w:val="0"/>
                <w:sz w:val="20"/>
              </w:rPr>
              <w:t>Verified</w:t>
            </w:r>
          </w:p>
        </w:tc>
        <w:tc>
          <w:tcPr>
            <w:tcW w:type="dxa" w:w="6336"/>
            <w:vAlign w:val="center"/>
          </w:tcPr>
          <w:p>
            <w:r/>
            <w:r>
              <w:rPr>
                <w:rFonts w:ascii="Calibri" w:hAnsi="Calibri"/>
                <w:b w:val="0"/>
                <w:sz w:val="20"/>
              </w:rPr>
              <w:t>Python 3.12.3.</w:t>
            </w:r>
          </w:p>
        </w:tc>
      </w:tr>
      <w:tr>
        <w:tc>
          <w:tcPr>
            <w:tcW w:type="dxa" w:w="2592"/>
            <w:vAlign w:val="center"/>
          </w:tcPr>
          <w:p>
            <w:r/>
            <w:r>
              <w:rPr>
                <w:rFonts w:ascii="Calibri" w:hAnsi="Calibri"/>
                <w:b w:val="0"/>
                <w:sz w:val="20"/>
              </w:rPr>
              <w:t>PySpark version</w:t>
            </w:r>
          </w:p>
        </w:tc>
        <w:tc>
          <w:tcPr>
            <w:tcW w:type="dxa" w:w="1728"/>
            <w:vAlign w:val="center"/>
            <w:shd w:fill="E2F0D9"/>
          </w:tcPr>
          <w:p>
            <w:r/>
            <w:r>
              <w:rPr>
                <w:rFonts w:ascii="Calibri" w:hAnsi="Calibri"/>
                <w:b w:val="0"/>
                <w:sz w:val="20"/>
              </w:rPr>
              <w:t>Verified</w:t>
            </w:r>
          </w:p>
        </w:tc>
        <w:tc>
          <w:tcPr>
            <w:tcW w:type="dxa" w:w="6336"/>
            <w:vAlign w:val="center"/>
          </w:tcPr>
          <w:p>
            <w:r/>
            <w:r>
              <w:rPr>
                <w:rFonts w:ascii="Calibri" w:hAnsi="Calibri"/>
                <w:b w:val="0"/>
                <w:sz w:val="20"/>
              </w:rPr>
              <w:t>PySpark 4.1.1.</w:t>
            </w:r>
          </w:p>
        </w:tc>
      </w:tr>
      <w:tr>
        <w:tc>
          <w:tcPr>
            <w:tcW w:type="dxa" w:w="2592"/>
            <w:vAlign w:val="center"/>
          </w:tcPr>
          <w:p>
            <w:r/>
            <w:r>
              <w:rPr>
                <w:rFonts w:ascii="Calibri" w:hAnsi="Calibri"/>
                <w:b w:val="0"/>
                <w:sz w:val="20"/>
              </w:rPr>
              <w:t>Pandas version</w:t>
            </w:r>
          </w:p>
        </w:tc>
        <w:tc>
          <w:tcPr>
            <w:tcW w:type="dxa" w:w="1728"/>
            <w:vAlign w:val="center"/>
            <w:shd w:fill="E2F0D9"/>
          </w:tcPr>
          <w:p>
            <w:r/>
            <w:r>
              <w:rPr>
                <w:rFonts w:ascii="Calibri" w:hAnsi="Calibri"/>
                <w:b w:val="0"/>
                <w:sz w:val="20"/>
              </w:rPr>
              <w:t>Verified</w:t>
            </w:r>
          </w:p>
        </w:tc>
        <w:tc>
          <w:tcPr>
            <w:tcW w:type="dxa" w:w="6336"/>
            <w:vAlign w:val="center"/>
          </w:tcPr>
          <w:p>
            <w:r/>
            <w:r>
              <w:rPr>
                <w:rFonts w:ascii="Calibri" w:hAnsi="Calibri"/>
                <w:b w:val="0"/>
                <w:sz w:val="20"/>
              </w:rPr>
              <w:t>Pandas 2.3.3 available.</w:t>
            </w:r>
          </w:p>
        </w:tc>
      </w:tr>
      <w:tr>
        <w:tc>
          <w:tcPr>
            <w:tcW w:type="dxa" w:w="2592"/>
            <w:vAlign w:val="center"/>
          </w:tcPr>
          <w:p>
            <w:r/>
            <w:r>
              <w:rPr>
                <w:rFonts w:ascii="Calibri" w:hAnsi="Calibri"/>
                <w:b w:val="0"/>
                <w:sz w:val="20"/>
              </w:rPr>
              <w:t>Spark smoke test</w:t>
            </w:r>
          </w:p>
        </w:tc>
        <w:tc>
          <w:tcPr>
            <w:tcW w:type="dxa" w:w="1728"/>
            <w:vAlign w:val="center"/>
            <w:shd w:fill="E2F0D9"/>
          </w:tcPr>
          <w:p>
            <w:r/>
            <w:r>
              <w:rPr>
                <w:rFonts w:ascii="Calibri" w:hAnsi="Calibri"/>
                <w:b w:val="0"/>
                <w:sz w:val="20"/>
              </w:rPr>
              <w:t>Passed</w:t>
            </w:r>
          </w:p>
        </w:tc>
        <w:tc>
          <w:tcPr>
            <w:tcW w:type="dxa" w:w="6336"/>
            <w:vAlign w:val="center"/>
          </w:tcPr>
          <w:p>
            <w:r/>
            <w:r>
              <w:rPr>
                <w:rFonts w:ascii="Calibri" w:hAnsi="Calibri"/>
                <w:b w:val="0"/>
                <w:sz w:val="20"/>
              </w:rPr>
              <w:t>create_spark_session() started successfully and reported Spark 4.1.1.</w:t>
            </w:r>
          </w:p>
        </w:tc>
      </w:tr>
      <w:tr>
        <w:tc>
          <w:tcPr>
            <w:tcW w:type="dxa" w:w="2592"/>
            <w:vAlign w:val="center"/>
          </w:tcPr>
          <w:p>
            <w:r/>
            <w:r>
              <w:rPr>
                <w:rFonts w:ascii="Calibri" w:hAnsi="Calibri"/>
                <w:b w:val="0"/>
                <w:sz w:val="20"/>
              </w:rPr>
              <w:t>Pytest</w:t>
            </w:r>
          </w:p>
        </w:tc>
        <w:tc>
          <w:tcPr>
            <w:tcW w:type="dxa" w:w="1728"/>
            <w:vAlign w:val="center"/>
            <w:shd w:fill="E2F0D9"/>
          </w:tcPr>
          <w:p>
            <w:r/>
            <w:r>
              <w:rPr>
                <w:rFonts w:ascii="Calibri" w:hAnsi="Calibri"/>
                <w:b w:val="0"/>
                <w:sz w:val="20"/>
              </w:rPr>
              <w:t>Passed</w:t>
            </w:r>
          </w:p>
        </w:tc>
        <w:tc>
          <w:tcPr>
            <w:tcW w:type="dxa" w:w="6336"/>
            <w:vAlign w:val="center"/>
          </w:tcPr>
          <w:p>
            <w:r/>
            <w:r>
              <w:rPr>
                <w:rFonts w:ascii="Calibri" w:hAnsi="Calibri"/>
                <w:b w:val="0"/>
                <w:sz w:val="20"/>
              </w:rPr>
              <w:t>$env:PYTHONPATH=(Get-Location).Path; pytest -q returned 1 passed.</w:t>
            </w:r>
          </w:p>
        </w:tc>
      </w:tr>
    </w:tbl>
    <w:p>
      <w:pPr>
        <w:pStyle w:val="Heading1"/>
      </w:pPr>
      <w:r>
        <w:rPr>
          <w:rFonts w:ascii="Calibri" w:hAnsi="Calibri"/>
          <w:color w:val="1F4E79"/>
          <w:sz w:val="32"/>
        </w:rPr>
        <w:t>PSX Dataset Communication</w:t>
      </w:r>
    </w:p>
    <w:p>
      <w:pPr>
        <w:spacing w:after="120" w:line="259" w:lineRule="auto"/>
      </w:pPr>
      <w:r>
        <w:rPr>
          <w:rFonts w:ascii="Calibri" w:hAnsi="Calibri"/>
          <w:sz w:val="22"/>
        </w:rPr>
        <w:t>The team also started the official data acquisition process. An email was sent to Pakistan Stock Exchange (PSX) requesting access to the required dataset. A reply was received from PSX, which confirms that the communication process has started.</w:t>
      </w:r>
    </w:p>
    <w:p>
      <w:pPr>
        <w:spacing w:after="120" w:line="259" w:lineRule="auto"/>
      </w:pPr>
      <w:r>
        <w:rPr>
          <w:rFonts w:ascii="Calibri" w:hAnsi="Calibri"/>
          <w:sz w:val="22"/>
        </w:rPr>
        <w:t>Current status: official dataset access and integration are still in progress. Until the final dataset is received or access rules are confirmed, the project uses a small sample CSV file for development and testing.</w:t>
      </w:r>
    </w:p>
    <w:p>
      <w:pPr>
        <w:spacing w:after="120" w:line="259" w:lineRule="auto"/>
      </w:pPr>
      <w:r>
        <w:rPr>
          <w:rFonts w:ascii="Calibri" w:hAnsi="Calibri"/>
          <w:sz w:val="22"/>
        </w:rPr>
        <w:t>Recommended submission note: Attach or show the PSX email reply separately if the supervisor asks for proof of communication, because the exact email content is outside the project repository.</w:t>
      </w:r>
    </w:p>
    <w:p>
      <w:pPr>
        <w:pStyle w:val="Heading1"/>
      </w:pPr>
      <w:r>
        <w:rPr>
          <w:rFonts w:ascii="Calibri" w:hAnsi="Calibri"/>
          <w:color w:val="1F4E79"/>
          <w:sz w:val="32"/>
        </w:rPr>
        <w:t>Current Limitations</w:t>
      </w:r>
    </w:p>
    <w:p>
      <w:pPr>
        <w:pStyle w:val="ListBullet"/>
        <w:spacing w:after="60"/>
      </w:pPr>
      <w:r>
        <w:rPr>
          <w:rFonts w:ascii="Calibri" w:hAnsi="Calibri"/>
          <w:sz w:val="21"/>
        </w:rPr>
        <w:t>The current market data is simulated from a sample CSV, not yet the official PSX production dataset.</w:t>
      </w:r>
    </w:p>
    <w:p>
      <w:pPr>
        <w:pStyle w:val="ListBullet"/>
        <w:spacing w:after="60"/>
      </w:pPr>
      <w:r>
        <w:rPr>
          <w:rFonts w:ascii="Calibri" w:hAnsi="Calibri"/>
          <w:sz w:val="21"/>
        </w:rPr>
        <w:t>RAG files are present as module placeholders but retrieval and vector database integration are not implemented yet.</w:t>
      </w:r>
    </w:p>
    <w:p>
      <w:pPr>
        <w:pStyle w:val="ListBullet"/>
        <w:spacing w:after="60"/>
      </w:pPr>
      <w:r>
        <w:rPr>
          <w:rFonts w:ascii="Calibri" w:hAnsi="Calibri"/>
          <w:sz w:val="21"/>
        </w:rPr>
        <w:t>Sentiment analysis files are present as placeholders and are planned for a later milestone.</w:t>
      </w:r>
    </w:p>
    <w:p>
      <w:pPr>
        <w:pStyle w:val="ListBullet"/>
        <w:spacing w:after="60"/>
      </w:pPr>
      <w:r>
        <w:rPr>
          <w:rFonts w:ascii="Calibri" w:hAnsi="Calibri"/>
          <w:sz w:val="21"/>
        </w:rPr>
        <w:t>Multi-agent files are present as placeholders and will be connected after the streaming/data layer becomes stable.</w:t>
      </w:r>
    </w:p>
    <w:p>
      <w:pPr>
        <w:pStyle w:val="ListBullet"/>
        <w:spacing w:after="60"/>
      </w:pPr>
      <w:r>
        <w:rPr>
          <w:rFonts w:ascii="Calibri" w:hAnsi="Calibri"/>
          <w:sz w:val="21"/>
        </w:rPr>
        <w:t>Dashboard files are present as placeholders; real-time dashboard routes, services, and socket events are planned for the next implementation phase.</w:t>
      </w:r>
    </w:p>
    <w:p>
      <w:pPr>
        <w:pStyle w:val="ListBullet"/>
        <w:spacing w:after="60"/>
      </w:pPr>
      <w:r>
        <w:rPr>
          <w:rFonts w:ascii="Calibri" w:hAnsi="Calibri"/>
          <w:sz w:val="21"/>
        </w:rPr>
        <w:t>Before a live demo, Kafka and Zookeeper should be started with docker compose up -d.</w:t>
      </w:r>
    </w:p>
    <w:p>
      <w:pPr>
        <w:pStyle w:val="Heading1"/>
      </w:pPr>
      <w:r>
        <w:rPr>
          <w:rFonts w:ascii="Calibri" w:hAnsi="Calibri"/>
          <w:color w:val="1F4E79"/>
          <w:sz w:val="32"/>
        </w:rPr>
        <w:t>Week 2 Planned Work</w:t>
      </w:r>
    </w:p>
    <w:p>
      <w:pPr>
        <w:pStyle w:val="ListBullet"/>
        <w:spacing w:after="60"/>
      </w:pPr>
      <w:r>
        <w:rPr>
          <w:rFonts w:ascii="Calibri" w:hAnsi="Calibri"/>
          <w:sz w:val="21"/>
        </w:rPr>
        <w:t>Integrate official PSX dataset if access is provided, or convert the received dataset into the current market tick schema.</w:t>
      </w:r>
    </w:p>
    <w:p>
      <w:pPr>
        <w:pStyle w:val="ListBullet"/>
        <w:spacing w:after="60"/>
      </w:pPr>
      <w:r>
        <w:rPr>
          <w:rFonts w:ascii="Calibri" w:hAnsi="Calibri"/>
          <w:sz w:val="21"/>
        </w:rPr>
        <w:t>Add Spark transformations for cleaning, aggregation, and trend detection.</w:t>
      </w:r>
    </w:p>
    <w:p>
      <w:pPr>
        <w:pStyle w:val="ListBullet"/>
        <w:spacing w:after="60"/>
      </w:pPr>
      <w:r>
        <w:rPr>
          <w:rFonts w:ascii="Calibri" w:hAnsi="Calibri"/>
          <w:sz w:val="21"/>
        </w:rPr>
        <w:t>Persist processed Spark output to a local store or dashboard service layer.</w:t>
      </w:r>
    </w:p>
    <w:p>
      <w:pPr>
        <w:pStyle w:val="ListBullet"/>
        <w:spacing w:after="60"/>
      </w:pPr>
      <w:r>
        <w:rPr>
          <w:rFonts w:ascii="Calibri" w:hAnsi="Calibri"/>
          <w:sz w:val="21"/>
        </w:rPr>
        <w:t>Start implementing dashboard routes, services, and Socket.IO events for real-time display.</w:t>
      </w:r>
    </w:p>
    <w:p>
      <w:pPr>
        <w:pStyle w:val="ListBullet"/>
        <w:spacing w:after="60"/>
      </w:pPr>
      <w:r>
        <w:rPr>
          <w:rFonts w:ascii="Calibri" w:hAnsi="Calibri"/>
          <w:sz w:val="21"/>
        </w:rPr>
        <w:t>Begin RAG/news layer implementation using PSX news or financial news CSV data.</w:t>
      </w:r>
    </w:p>
    <w:p>
      <w:pPr>
        <w:pStyle w:val="ListBullet"/>
        <w:spacing w:after="60"/>
      </w:pPr>
      <w:r>
        <w:rPr>
          <w:rFonts w:ascii="Calibri" w:hAnsi="Calibri"/>
          <w:sz w:val="21"/>
        </w:rPr>
        <w:t>Expand automated tests for Spark parsing, Kafka tick generation, and future dashboard services.</w:t>
      </w:r>
    </w:p>
    <w:p>
      <w:pPr>
        <w:pStyle w:val="Heading1"/>
      </w:pPr>
      <w:r>
        <w:rPr>
          <w:rFonts w:ascii="Calibri" w:hAnsi="Calibri"/>
          <w:color w:val="1F4E79"/>
          <w:sz w:val="32"/>
        </w:rPr>
        <w:t>Repository Evidence</w:t>
      </w:r>
    </w:p>
    <w:tbl>
      <w:tblPr>
        <w:tblStyle w:val="TableGrid"/>
        <w:tblW w:type="auto" w:w="0"/>
        <w:jc w:val="center"/>
        <w:tblLook w:firstColumn="1" w:firstRow="1" w:lastColumn="0" w:lastRow="0" w:noHBand="0" w:noVBand="1" w:val="04A0"/>
      </w:tblPr>
      <w:tblGrid>
        <w:gridCol w:w="4997"/>
        <w:gridCol w:w="4997"/>
      </w:tblGrid>
      <w:tr>
        <w:tc>
          <w:tcPr>
            <w:tcW w:type="dxa" w:w="3600"/>
            <w:vAlign w:val="center"/>
            <w:shd w:fill="1F4E79"/>
          </w:tcPr>
          <w:p>
            <w:r/>
            <w:r>
              <w:rPr>
                <w:rFonts w:ascii="Calibri" w:hAnsi="Calibri"/>
                <w:b/>
                <w:color w:val="FFFFFF"/>
                <w:sz w:val="20"/>
              </w:rPr>
              <w:t>File / Folder</w:t>
            </w:r>
          </w:p>
        </w:tc>
        <w:tc>
          <w:tcPr>
            <w:tcW w:type="dxa" w:w="6624"/>
            <w:vAlign w:val="center"/>
            <w:shd w:fill="1F4E79"/>
          </w:tcPr>
          <w:p>
            <w:r/>
            <w:r>
              <w:rPr>
                <w:rFonts w:ascii="Calibri" w:hAnsi="Calibri"/>
                <w:b/>
                <w:color w:val="FFFFFF"/>
                <w:sz w:val="20"/>
              </w:rPr>
              <w:t>Purpose</w:t>
            </w:r>
          </w:p>
        </w:tc>
      </w:tr>
      <w:tr>
        <w:tc>
          <w:tcPr>
            <w:tcW w:type="dxa" w:w="3600"/>
            <w:vAlign w:val="center"/>
          </w:tcPr>
          <w:p>
            <w:r/>
            <w:r>
              <w:rPr>
                <w:rFonts w:ascii="Calibri" w:hAnsi="Calibri"/>
                <w:b w:val="0"/>
                <w:sz w:val="20"/>
              </w:rPr>
              <w:t>docker-compose.yml</w:t>
            </w:r>
          </w:p>
        </w:tc>
        <w:tc>
          <w:tcPr>
            <w:tcW w:type="dxa" w:w="6624"/>
            <w:vAlign w:val="center"/>
          </w:tcPr>
          <w:p>
            <w:r/>
            <w:r>
              <w:rPr>
                <w:rFonts w:ascii="Calibri" w:hAnsi="Calibri"/>
                <w:b w:val="0"/>
                <w:sz w:val="20"/>
              </w:rPr>
              <w:t>Defines local Zookeeper and Kafka services.</w:t>
            </w:r>
          </w:p>
        </w:tc>
      </w:tr>
      <w:tr>
        <w:tc>
          <w:tcPr>
            <w:tcW w:type="dxa" w:w="3600"/>
            <w:vAlign w:val="center"/>
          </w:tcPr>
          <w:p>
            <w:r/>
            <w:r>
              <w:rPr>
                <w:rFonts w:ascii="Calibri" w:hAnsi="Calibri"/>
                <w:b w:val="0"/>
                <w:sz w:val="20"/>
              </w:rPr>
              <w:t>requirements.txt</w:t>
            </w:r>
          </w:p>
        </w:tc>
        <w:tc>
          <w:tcPr>
            <w:tcW w:type="dxa" w:w="6624"/>
            <w:vAlign w:val="center"/>
          </w:tcPr>
          <w:p>
            <w:r/>
            <w:r>
              <w:rPr>
                <w:rFonts w:ascii="Calibri" w:hAnsi="Calibri"/>
                <w:b w:val="0"/>
                <w:sz w:val="20"/>
              </w:rPr>
              <w:t>Lists Python dependencies for Week 1 work.</w:t>
            </w:r>
          </w:p>
        </w:tc>
      </w:tr>
      <w:tr>
        <w:tc>
          <w:tcPr>
            <w:tcW w:type="dxa" w:w="3600"/>
            <w:vAlign w:val="center"/>
          </w:tcPr>
          <w:p>
            <w:r/>
            <w:r>
              <w:rPr>
                <w:rFonts w:ascii="Calibri" w:hAnsi="Calibri"/>
                <w:b w:val="0"/>
                <w:sz w:val="20"/>
              </w:rPr>
              <w:t>.env</w:t>
            </w:r>
          </w:p>
        </w:tc>
        <w:tc>
          <w:tcPr>
            <w:tcW w:type="dxa" w:w="6624"/>
            <w:vAlign w:val="center"/>
          </w:tcPr>
          <w:p>
            <w:r/>
            <w:r>
              <w:rPr>
                <w:rFonts w:ascii="Calibri" w:hAnsi="Calibri"/>
                <w:b w:val="0"/>
                <w:sz w:val="20"/>
              </w:rPr>
              <w:t>Stores Kafka bootstrap server configuration.</w:t>
            </w:r>
          </w:p>
        </w:tc>
      </w:tr>
      <w:tr>
        <w:tc>
          <w:tcPr>
            <w:tcW w:type="dxa" w:w="3600"/>
            <w:vAlign w:val="center"/>
          </w:tcPr>
          <w:p>
            <w:r/>
            <w:r>
              <w:rPr>
                <w:rFonts w:ascii="Calibri" w:hAnsi="Calibri"/>
                <w:b w:val="0"/>
                <w:sz w:val="20"/>
              </w:rPr>
              <w:t>data/sample_psx_data.csv</w:t>
            </w:r>
          </w:p>
        </w:tc>
        <w:tc>
          <w:tcPr>
            <w:tcW w:type="dxa" w:w="6624"/>
            <w:vAlign w:val="center"/>
          </w:tcPr>
          <w:p>
            <w:r/>
            <w:r>
              <w:rPr>
                <w:rFonts w:ascii="Calibri" w:hAnsi="Calibri"/>
                <w:b w:val="0"/>
                <w:sz w:val="20"/>
              </w:rPr>
              <w:t>Provides sample PSX symbols and prices for local development.</w:t>
            </w:r>
          </w:p>
        </w:tc>
      </w:tr>
      <w:tr>
        <w:tc>
          <w:tcPr>
            <w:tcW w:type="dxa" w:w="3600"/>
            <w:vAlign w:val="center"/>
          </w:tcPr>
          <w:p>
            <w:r/>
            <w:r>
              <w:rPr>
                <w:rFonts w:ascii="Calibri" w:hAnsi="Calibri"/>
                <w:b w:val="0"/>
                <w:sz w:val="20"/>
              </w:rPr>
              <w:t>kafka_layer/producer.py</w:t>
            </w:r>
          </w:p>
        </w:tc>
        <w:tc>
          <w:tcPr>
            <w:tcW w:type="dxa" w:w="6624"/>
            <w:vAlign w:val="center"/>
          </w:tcPr>
          <w:p>
            <w:r/>
            <w:r>
              <w:rPr>
                <w:rFonts w:ascii="Calibri" w:hAnsi="Calibri"/>
                <w:b w:val="0"/>
                <w:sz w:val="20"/>
              </w:rPr>
              <w:t>Generates and publishes simulated market ticks.</w:t>
            </w:r>
          </w:p>
        </w:tc>
      </w:tr>
      <w:tr>
        <w:tc>
          <w:tcPr>
            <w:tcW w:type="dxa" w:w="3600"/>
            <w:vAlign w:val="center"/>
          </w:tcPr>
          <w:p>
            <w:r/>
            <w:r>
              <w:rPr>
                <w:rFonts w:ascii="Calibri" w:hAnsi="Calibri"/>
                <w:b w:val="0"/>
                <w:sz w:val="20"/>
              </w:rPr>
              <w:t>kafka_layer/consumer.py</w:t>
            </w:r>
          </w:p>
        </w:tc>
        <w:tc>
          <w:tcPr>
            <w:tcW w:type="dxa" w:w="6624"/>
            <w:vAlign w:val="center"/>
          </w:tcPr>
          <w:p>
            <w:r/>
            <w:r>
              <w:rPr>
                <w:rFonts w:ascii="Calibri" w:hAnsi="Calibri"/>
                <w:b w:val="0"/>
                <w:sz w:val="20"/>
              </w:rPr>
              <w:t>Reads market ticks from Kafka.</w:t>
            </w:r>
          </w:p>
        </w:tc>
      </w:tr>
      <w:tr>
        <w:tc>
          <w:tcPr>
            <w:tcW w:type="dxa" w:w="3600"/>
            <w:vAlign w:val="center"/>
          </w:tcPr>
          <w:p>
            <w:r/>
            <w:r>
              <w:rPr>
                <w:rFonts w:ascii="Calibri" w:hAnsi="Calibri"/>
                <w:b w:val="0"/>
                <w:sz w:val="20"/>
              </w:rPr>
              <w:t>config/kafka_config.py</w:t>
            </w:r>
          </w:p>
        </w:tc>
        <w:tc>
          <w:tcPr>
            <w:tcW w:type="dxa" w:w="6624"/>
            <w:vAlign w:val="center"/>
          </w:tcPr>
          <w:p>
            <w:r/>
            <w:r>
              <w:rPr>
                <w:rFonts w:ascii="Calibri" w:hAnsi="Calibri"/>
                <w:b w:val="0"/>
                <w:sz w:val="20"/>
              </w:rPr>
              <w:t>Loads Kafka bootstrap server and topic name.</w:t>
            </w:r>
          </w:p>
        </w:tc>
      </w:tr>
      <w:tr>
        <w:tc>
          <w:tcPr>
            <w:tcW w:type="dxa" w:w="3600"/>
            <w:vAlign w:val="center"/>
          </w:tcPr>
          <w:p>
            <w:r/>
            <w:r>
              <w:rPr>
                <w:rFonts w:ascii="Calibri" w:hAnsi="Calibri"/>
                <w:b w:val="0"/>
                <w:sz w:val="20"/>
              </w:rPr>
              <w:t>spark_layer/stream_processor.py</w:t>
            </w:r>
          </w:p>
        </w:tc>
        <w:tc>
          <w:tcPr>
            <w:tcW w:type="dxa" w:w="6624"/>
            <w:vAlign w:val="center"/>
          </w:tcPr>
          <w:p>
            <w:r/>
            <w:r>
              <w:rPr>
                <w:rFonts w:ascii="Calibri" w:hAnsi="Calibri"/>
                <w:b w:val="0"/>
                <w:sz w:val="20"/>
              </w:rPr>
              <w:t>Creates Spark session and parses Kafka stream data.</w:t>
            </w:r>
          </w:p>
        </w:tc>
      </w:tr>
      <w:tr>
        <w:tc>
          <w:tcPr>
            <w:tcW w:type="dxa" w:w="3600"/>
            <w:vAlign w:val="center"/>
          </w:tcPr>
          <w:p>
            <w:r/>
            <w:r>
              <w:rPr>
                <w:rFonts w:ascii="Calibri" w:hAnsi="Calibri"/>
                <w:b w:val="0"/>
                <w:sz w:val="20"/>
              </w:rPr>
              <w:t>run_spark_stream.py</w:t>
            </w:r>
          </w:p>
        </w:tc>
        <w:tc>
          <w:tcPr>
            <w:tcW w:type="dxa" w:w="6624"/>
            <w:vAlign w:val="center"/>
          </w:tcPr>
          <w:p>
            <w:r/>
            <w:r>
              <w:rPr>
                <w:rFonts w:ascii="Calibri" w:hAnsi="Calibri"/>
                <w:b w:val="0"/>
                <w:sz w:val="20"/>
              </w:rPr>
              <w:t>Starts the Spark stream processor through Python.</w:t>
            </w:r>
          </w:p>
        </w:tc>
      </w:tr>
      <w:tr>
        <w:tc>
          <w:tcPr>
            <w:tcW w:type="dxa" w:w="3600"/>
            <w:vAlign w:val="center"/>
          </w:tcPr>
          <w:p>
            <w:r/>
            <w:r>
              <w:rPr>
                <w:rFonts w:ascii="Calibri" w:hAnsi="Calibri"/>
                <w:b w:val="0"/>
                <w:sz w:val="20"/>
              </w:rPr>
              <w:t>tests/test_kafka.py</w:t>
            </w:r>
          </w:p>
        </w:tc>
        <w:tc>
          <w:tcPr>
            <w:tcW w:type="dxa" w:w="6624"/>
            <w:vAlign w:val="center"/>
          </w:tcPr>
          <w:p>
            <w:r/>
            <w:r>
              <w:rPr>
                <w:rFonts w:ascii="Calibri" w:hAnsi="Calibri"/>
                <w:b w:val="0"/>
                <w:sz w:val="20"/>
              </w:rPr>
              <w:t>Tests the live tick generation function.</w:t>
            </w:r>
          </w:p>
        </w:tc>
      </w:tr>
      <w:tr>
        <w:tc>
          <w:tcPr>
            <w:tcW w:type="dxa" w:w="3600"/>
            <w:vAlign w:val="center"/>
          </w:tcPr>
          <w:p>
            <w:r/>
            <w:r>
              <w:rPr>
                <w:rFonts w:ascii="Calibri" w:hAnsi="Calibri"/>
                <w:b w:val="0"/>
                <w:sz w:val="20"/>
              </w:rPr>
              <w:t>dashboard/*</w:t>
            </w:r>
          </w:p>
        </w:tc>
        <w:tc>
          <w:tcPr>
            <w:tcW w:type="dxa" w:w="6624"/>
            <w:vAlign w:val="center"/>
          </w:tcPr>
          <w:p>
            <w:r/>
            <w:r>
              <w:rPr>
                <w:rFonts w:ascii="Calibri" w:hAnsi="Calibri"/>
                <w:b w:val="0"/>
                <w:sz w:val="20"/>
              </w:rPr>
              <w:t>Dashboard placeholders for future Flask/Socket.IO implementation.</w:t>
            </w:r>
          </w:p>
        </w:tc>
      </w:tr>
      <w:tr>
        <w:tc>
          <w:tcPr>
            <w:tcW w:type="dxa" w:w="3600"/>
            <w:vAlign w:val="center"/>
          </w:tcPr>
          <w:p>
            <w:r/>
            <w:r>
              <w:rPr>
                <w:rFonts w:ascii="Calibri" w:hAnsi="Calibri"/>
                <w:b w:val="0"/>
                <w:sz w:val="20"/>
              </w:rPr>
              <w:t>rag_layer/*</w:t>
            </w:r>
          </w:p>
        </w:tc>
        <w:tc>
          <w:tcPr>
            <w:tcW w:type="dxa" w:w="6624"/>
            <w:vAlign w:val="center"/>
          </w:tcPr>
          <w:p>
            <w:r/>
            <w:r>
              <w:rPr>
                <w:rFonts w:ascii="Calibri" w:hAnsi="Calibri"/>
                <w:b w:val="0"/>
                <w:sz w:val="20"/>
              </w:rPr>
              <w:t>RAG placeholders for future retrieval and embeddings work.</w:t>
            </w:r>
          </w:p>
        </w:tc>
      </w:tr>
      <w:tr>
        <w:tc>
          <w:tcPr>
            <w:tcW w:type="dxa" w:w="3600"/>
            <w:vAlign w:val="center"/>
          </w:tcPr>
          <w:p>
            <w:r/>
            <w:r>
              <w:rPr>
                <w:rFonts w:ascii="Calibri" w:hAnsi="Calibri"/>
                <w:b w:val="0"/>
                <w:sz w:val="20"/>
              </w:rPr>
              <w:t>agents/*</w:t>
            </w:r>
          </w:p>
        </w:tc>
        <w:tc>
          <w:tcPr>
            <w:tcW w:type="dxa" w:w="6624"/>
            <w:vAlign w:val="center"/>
          </w:tcPr>
          <w:p>
            <w:r/>
            <w:r>
              <w:rPr>
                <w:rFonts w:ascii="Calibri" w:hAnsi="Calibri"/>
                <w:b w:val="0"/>
                <w:sz w:val="20"/>
              </w:rPr>
              <w:t>Multi-agent system placeholders for future AI decision layer.</w:t>
            </w:r>
          </w:p>
        </w:tc>
      </w:tr>
    </w:tbl>
    <w:p>
      <w:pPr>
        <w:pStyle w:val="Heading1"/>
      </w:pPr>
      <w:r>
        <w:rPr>
          <w:rFonts w:ascii="Calibri" w:hAnsi="Calibri"/>
          <w:color w:val="1F4E79"/>
          <w:sz w:val="32"/>
        </w:rPr>
        <w:t>Conclusion</w:t>
      </w:r>
    </w:p>
    <w:p>
      <w:pPr>
        <w:spacing w:after="120" w:line="259" w:lineRule="auto"/>
      </w:pPr>
      <w:r>
        <w:rPr>
          <w:rFonts w:ascii="Calibri" w:hAnsi="Calibri"/>
          <w:sz w:val="22"/>
        </w:rPr>
        <w:t>Week 1 successfully completed the foundation milestone for the PSX Real-Time AI-Powered Market Intelligence System. The local development environment is ready, Docker/Kafka configuration exists, sample data can be streamed through Kafka, PySpark is connected and verified, and the project now has a defendable base for Week 2 implementation.</w:t>
      </w:r>
    </w:p>
    <w:p>
      <w:pPr>
        <w:spacing w:after="120" w:line="259" w:lineRule="auto"/>
      </w:pPr>
      <w:r>
        <w:rPr>
          <w:rFonts w:ascii="Calibri" w:hAnsi="Calibri"/>
          <w:sz w:val="22"/>
        </w:rPr>
        <w:t>The correct academic status is: Week 1 completed for setup, streaming foundation, and Spark integration; remaining AI intelligence, official dataset integration, dashboard, and advanced analytics are planned for upcoming weeks.</w:t>
      </w:r>
    </w:p>
    <w:sectPr w:rsidR="00FC693F" w:rsidRPr="0006063C" w:rsidSect="00034616">
      <w:footerReference w:type="default" r:id="rId9"/>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PSX AI Market Intelligence System - Week 1 Progress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