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6F7074"/>
          <w:sz w:val="24"/>
          <w:szCs w:val="24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Zeenat Takaful Plan (Underwritten By IGI Life Insurance) is a saving and protection plan specifically designed for our Female Clientele along with spouse coverage.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6F7074"/>
          <w:sz w:val="24"/>
          <w:szCs w:val="24"/>
        </w:rPr>
      </w:pPr>
      <w:r>
        <w:rPr>
          <w:rFonts w:eastAsia="Times New Roman" w:cs="Tahoma" w:ascii="Tahoma" w:hAnsi="Tahoma"/>
          <w:b/>
          <w:bCs/>
          <w:color w:val="003366"/>
          <w:sz w:val="24"/>
          <w:szCs w:val="24"/>
          <w:u w:val="single"/>
        </w:rPr>
        <w:t>Product Features/ Benefits</w:t>
      </w:r>
      <w:r>
        <w:rPr>
          <w:rFonts w:eastAsia="Times New Roman" w:cs="Tahoma" w:ascii="Tahoma" w:hAnsi="Tahoma"/>
          <w:b/>
          <w:bCs/>
          <w:color w:val="6F7074"/>
          <w:sz w:val="24"/>
          <w:szCs w:val="24"/>
          <w:u w:val="single"/>
        </w:rPr>
        <w:t>:</w:t>
      </w:r>
    </w:p>
    <w:tbl>
      <w:tblPr>
        <w:tblpPr w:bottomFromText="0" w:horzAnchor="text" w:leftFromText="36" w:rightFromText="36" w:tblpX="0" w:tblpY="0" w:topFromText="0" w:vertAnchor="text"/>
        <w:tblW w:w="21600" w:type="dxa"/>
        <w:jc w:val="left"/>
        <w:tblInd w:w="-7" w:type="dxa"/>
        <w:tblLayout w:type="fixed"/>
        <w:tblCellMar>
          <w:top w:w="0" w:type="dxa"/>
          <w:left w:w="150" w:type="dxa"/>
          <w:bottom w:w="0" w:type="dxa"/>
          <w:right w:w="150" w:type="dxa"/>
        </w:tblCellMar>
        <w:tblLook w:val="04a0" w:noHBand="0" w:noVBand="1" w:firstColumn="1" w:lastRow="0" w:lastColumn="0" w:firstRow="1"/>
      </w:tblPr>
      <w:tblGrid>
        <w:gridCol w:w="3222"/>
        <w:gridCol w:w="18377"/>
      </w:tblGrid>
      <w:tr>
        <w:trPr/>
        <w:tc>
          <w:tcPr>
            <w:tcW w:w="3222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b/>
                <w:bCs/>
                <w:color w:val="003366"/>
                <w:sz w:val="24"/>
                <w:szCs w:val="24"/>
              </w:rPr>
              <w:t>Unit Linked</w:t>
            </w:r>
          </w:p>
        </w:tc>
        <w:tc>
          <w:tcPr>
            <w:tcW w:w="18377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It provides life cover as well as a return on investment.</w:t>
            </w:r>
          </w:p>
        </w:tc>
      </w:tr>
      <w:tr>
        <w:trPr/>
        <w:tc>
          <w:tcPr>
            <w:tcW w:w="3222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b/>
                <w:bCs/>
                <w:color w:val="003366"/>
                <w:sz w:val="24"/>
                <w:szCs w:val="24"/>
              </w:rPr>
              <w:t>Contributions Management</w:t>
            </w:r>
          </w:p>
        </w:tc>
        <w:tc>
          <w:tcPr>
            <w:tcW w:w="18377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Autospacing="1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Offers the flexibility to direct customer contributions in part or whole to any of the following funds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Autospacing="1" w:after="0"/>
              <w:ind w:left="0" w:hanging="36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Balanced Fund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0" w:hanging="36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Conservative Fund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Autospacing="1"/>
              <w:ind w:left="0" w:hanging="36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Managed Fund</w:t>
            </w:r>
          </w:p>
        </w:tc>
      </w:tr>
      <w:tr>
        <w:trPr/>
        <w:tc>
          <w:tcPr>
            <w:tcW w:w="3222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b/>
                <w:bCs/>
                <w:color w:val="003366"/>
                <w:sz w:val="24"/>
                <w:szCs w:val="24"/>
              </w:rPr>
              <w:t>Death Benefit</w:t>
            </w:r>
          </w:p>
        </w:tc>
        <w:tc>
          <w:tcPr>
            <w:tcW w:w="18377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Death Benefit is Both of Sum Covered Plus Participant Account value (PIA) + Surplus (if any)</w:t>
            </w:r>
          </w:p>
        </w:tc>
      </w:tr>
      <w:tr>
        <w:trPr/>
        <w:tc>
          <w:tcPr>
            <w:tcW w:w="3222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b/>
                <w:bCs/>
                <w:color w:val="003366"/>
                <w:sz w:val="24"/>
                <w:szCs w:val="24"/>
              </w:rPr>
              <w:t>Maturity Benefit</w:t>
            </w:r>
          </w:p>
        </w:tc>
        <w:tc>
          <w:tcPr>
            <w:tcW w:w="18377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On completion of the membership term, the PIA value along with the account value of Top-up will be payable, which can be taken as a Lump sum or in applied to life time pensions</w:t>
            </w:r>
          </w:p>
        </w:tc>
      </w:tr>
      <w:tr>
        <w:trPr/>
        <w:tc>
          <w:tcPr>
            <w:tcW w:w="3222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b/>
                <w:bCs/>
                <w:color w:val="003366"/>
                <w:sz w:val="24"/>
                <w:szCs w:val="24"/>
              </w:rPr>
              <w:t>Optional Riders</w:t>
            </w:r>
          </w:p>
        </w:tc>
        <w:tc>
          <w:tcPr>
            <w:tcW w:w="18377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Autospacing="1" w:after="0"/>
              <w:ind w:left="0" w:hanging="36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Accidental Death Benefit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0" w:hanging="36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Income Benefit- Disability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0" w:hanging="36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Income Benefit-Death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0" w:hanging="36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Waiver of Contribution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0" w:hanging="36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Additional Protection Benefit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Autospacing="1"/>
              <w:ind w:left="0" w:hanging="36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Spouse Coverage</w:t>
            </w:r>
          </w:p>
        </w:tc>
      </w:tr>
      <w:tr>
        <w:trPr/>
        <w:tc>
          <w:tcPr>
            <w:tcW w:w="3222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b/>
                <w:bCs/>
                <w:color w:val="003366"/>
                <w:sz w:val="24"/>
                <w:szCs w:val="24"/>
              </w:rPr>
              <w:t>Built In Benefit</w:t>
            </w:r>
          </w:p>
        </w:tc>
        <w:tc>
          <w:tcPr>
            <w:tcW w:w="18377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GB"/>
              </w:rPr>
              <w:t>Top-Up contribution (Ad-hoc contribution) – The plan is a regular contribution plan but a participant may top-up the regular contributions by depositing additional funds as lump sum contributions in the membership.</w:t>
            </w:r>
          </w:p>
        </w:tc>
      </w:tr>
      <w:tr>
        <w:trPr/>
        <w:tc>
          <w:tcPr>
            <w:tcW w:w="3222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b/>
                <w:bCs/>
                <w:color w:val="003366"/>
                <w:sz w:val="24"/>
                <w:szCs w:val="24"/>
              </w:rPr>
              <w:t>Free Look Period</w:t>
            </w:r>
          </w:p>
        </w:tc>
        <w:tc>
          <w:tcPr>
            <w:tcW w:w="18377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During a 14 day free look period, the customer can review the policy terms and conditions and cancel the policy if needed.</w:t>
            </w:r>
          </w:p>
        </w:tc>
      </w:tr>
    </w:tbl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6F7074"/>
          <w:sz w:val="24"/>
          <w:szCs w:val="24"/>
        </w:rPr>
      </w:pPr>
      <w:r>
        <w:rPr>
          <w:rFonts w:eastAsia="Times New Roman" w:cs="Tahoma" w:ascii="Tahoma" w:hAnsi="Tahoma"/>
          <w:b/>
          <w:bCs/>
          <w:color w:val="003366"/>
          <w:sz w:val="24"/>
          <w:szCs w:val="24"/>
          <w:u w:val="single"/>
        </w:rPr>
        <w:t>Product Variants:</w:t>
      </w:r>
      <w:r>
        <w:rPr>
          <w:rFonts w:eastAsia="Times New Roman" w:cs="Tahoma" w:ascii="Tahoma" w:hAnsi="Tahoma"/>
          <w:b/>
          <w:bCs/>
          <w:color w:val="6F7074"/>
          <w:sz w:val="24"/>
          <w:szCs w:val="24"/>
          <w:u w:val="single"/>
        </w:rPr>
        <w:br/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ind w:left="0" w:hanging="360"/>
        <w:rPr>
          <w:rFonts w:ascii="Arial" w:hAnsi="Arial" w:eastAsia="Times New Roman" w:cs="Arial"/>
          <w:color w:val="6F7074"/>
          <w:sz w:val="23"/>
          <w:szCs w:val="23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Free 14-day look period to review policy terms and conditions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rPr>
          <w:rFonts w:ascii="Arial" w:hAnsi="Arial" w:eastAsia="Times New Roman" w:cs="Arial"/>
          <w:color w:val="6F7074"/>
          <w:sz w:val="23"/>
          <w:szCs w:val="23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Customer can select sum assured of his own choice.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ind w:left="0" w:hanging="360"/>
        <w:rPr>
          <w:rFonts w:ascii="Arial" w:hAnsi="Arial" w:eastAsia="Times New Roman" w:cs="Arial"/>
          <w:color w:val="6F7074"/>
          <w:sz w:val="23"/>
          <w:szCs w:val="23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Optional rider’s is provided to cover customers against unforeseen risks and hazards.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6F7074"/>
          <w:sz w:val="24"/>
          <w:szCs w:val="24"/>
        </w:rPr>
      </w:pPr>
      <w:r>
        <w:rPr>
          <w:rFonts w:eastAsia="Times New Roman" w:cs="Tahoma" w:ascii="Tahoma" w:hAnsi="Tahoma"/>
          <w:b/>
          <w:bCs/>
          <w:color w:val="003366"/>
          <w:sz w:val="24"/>
          <w:szCs w:val="24"/>
          <w:u w:val="single"/>
        </w:rPr>
        <w:t>Term of Plan: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6F7074"/>
          <w:sz w:val="24"/>
          <w:szCs w:val="24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10 till the attained age of 85 years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6F7074"/>
          <w:sz w:val="24"/>
          <w:szCs w:val="24"/>
        </w:rPr>
      </w:pPr>
      <w:r>
        <w:rPr>
          <w:rFonts w:eastAsia="Times New Roman" w:cs="Tahoma" w:ascii="Tahoma" w:hAnsi="Tahoma"/>
          <w:b/>
          <w:bCs/>
          <w:color w:val="003366"/>
          <w:sz w:val="24"/>
          <w:szCs w:val="24"/>
          <w:u w:val="single"/>
        </w:rPr>
        <w:t>Annual Contribution: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6F7074"/>
          <w:sz w:val="24"/>
          <w:szCs w:val="24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The minimum basic annual contribution is PKR 25,000. The contributions can be made on Annual, Semi-Annual or Quarterly basis.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6F7074"/>
          <w:sz w:val="24"/>
          <w:szCs w:val="24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Note: For a better understanding in making your selection according to your savings and takaful needs, you may contact representatives at your nearest Bank Alfalah Limited branch.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6F7074"/>
          <w:sz w:val="24"/>
          <w:szCs w:val="24"/>
        </w:rPr>
      </w:pPr>
      <w:r>
        <w:rPr>
          <w:rFonts w:eastAsia="Times New Roman" w:cs="Tahoma" w:ascii="Tahoma" w:hAnsi="Tahoma"/>
          <w:b/>
          <w:bCs/>
          <w:color w:val="003366"/>
          <w:sz w:val="24"/>
          <w:szCs w:val="24"/>
          <w:u w:val="single"/>
        </w:rPr>
        <w:t>Unit Allocation: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6F7074"/>
          <w:sz w:val="24"/>
          <w:szCs w:val="24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The allocation of the annual basic plan contribution to buy units in the chosen funds is as follow:</w:t>
      </w:r>
    </w:p>
    <w:tbl>
      <w:tblPr>
        <w:tblpPr w:vertAnchor="text" w:horzAnchor="text" w:leftFromText="36" w:rightFromText="36" w:tblpX="150" w:tblpY="0"/>
        <w:tblW w:w="4245" w:type="dxa"/>
        <w:jc w:val="left"/>
        <w:tblInd w:w="-7" w:type="dxa"/>
        <w:tblLayout w:type="fixed"/>
        <w:tblCellMar>
          <w:top w:w="0" w:type="dxa"/>
          <w:left w:w="150" w:type="dxa"/>
          <w:bottom w:w="0" w:type="dxa"/>
          <w:right w:w="150" w:type="dxa"/>
        </w:tblCellMar>
        <w:tblLook w:val="04a0" w:noHBand="0" w:noVBand="1" w:firstColumn="1" w:lastRow="0" w:lastColumn="0" w:firstRow="1"/>
      </w:tblPr>
      <w:tblGrid>
        <w:gridCol w:w="2114"/>
        <w:gridCol w:w="2130"/>
      </w:tblGrid>
      <w:tr>
        <w:trPr/>
        <w:tc>
          <w:tcPr>
            <w:tcW w:w="2114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color w:val="003366"/>
                <w:sz w:val="24"/>
                <w:szCs w:val="24"/>
              </w:rPr>
              <w:t>Membership Year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color w:val="003366"/>
                <w:sz w:val="24"/>
                <w:szCs w:val="24"/>
              </w:rPr>
              <w:t>Allocation Percentage</w:t>
            </w:r>
          </w:p>
        </w:tc>
      </w:tr>
      <w:tr>
        <w:trPr/>
        <w:tc>
          <w:tcPr>
            <w:tcW w:w="2114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Year  1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right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60%</w:t>
            </w:r>
          </w:p>
        </w:tc>
      </w:tr>
      <w:tr>
        <w:trPr/>
        <w:tc>
          <w:tcPr>
            <w:tcW w:w="2114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Year  2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right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80%</w:t>
            </w:r>
          </w:p>
        </w:tc>
      </w:tr>
      <w:tr>
        <w:trPr/>
        <w:tc>
          <w:tcPr>
            <w:tcW w:w="2114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Year  3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right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90%</w:t>
            </w:r>
          </w:p>
        </w:tc>
      </w:tr>
      <w:tr>
        <w:trPr/>
        <w:tc>
          <w:tcPr>
            <w:tcW w:w="2114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Year  4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right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100%</w:t>
            </w:r>
          </w:p>
        </w:tc>
      </w:tr>
      <w:tr>
        <w:trPr/>
        <w:tc>
          <w:tcPr>
            <w:tcW w:w="2114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Year 5 &amp; onwards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jc w:val="right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Tahoma" w:ascii="Tahoma" w:hAnsi="Tahoma"/>
                <w:sz w:val="24"/>
                <w:szCs w:val="24"/>
              </w:rPr>
              <w:t>103%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Target Market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="280" w:after="280"/>
        <w:ind w:left="0" w:hanging="360"/>
        <w:rPr>
          <w:rFonts w:ascii="Arial" w:hAnsi="Arial" w:cs="Arial"/>
          <w:color w:val="6F7074"/>
        </w:rPr>
      </w:pPr>
      <w:r>
        <w:rPr>
          <w:rFonts w:cs="Tahoma" w:ascii="Tahoma" w:hAnsi="Tahoma"/>
          <w:color w:val="6F7074"/>
        </w:rPr>
        <w:t>Salaried Individuals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="280" w:after="280"/>
        <w:ind w:left="0" w:hanging="360"/>
        <w:rPr>
          <w:rFonts w:ascii="Arial" w:hAnsi="Arial" w:cs="Arial"/>
          <w:color w:val="6F7074"/>
        </w:rPr>
      </w:pPr>
      <w:r>
        <w:rPr>
          <w:rFonts w:cs="Tahoma" w:ascii="Tahoma" w:hAnsi="Tahoma"/>
          <w:color w:val="6F7074"/>
        </w:rPr>
        <w:t>Professionals (Chartered Accountants, Consultants, Doctors, etc.)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="280" w:after="280"/>
        <w:ind w:left="0" w:hanging="360"/>
        <w:rPr>
          <w:rFonts w:ascii="Arial" w:hAnsi="Arial" w:cs="Arial"/>
          <w:color w:val="6F7074"/>
        </w:rPr>
      </w:pPr>
      <w:r>
        <w:rPr>
          <w:rFonts w:cs="Tahoma" w:ascii="Tahoma" w:hAnsi="Tahoma"/>
          <w:color w:val="6F7074"/>
        </w:rPr>
        <w:t>Self Employed Individuals, Proprietorships, Partners and Family concern business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="280" w:after="280"/>
        <w:ind w:left="0" w:hanging="360"/>
        <w:rPr>
          <w:rFonts w:ascii="Arial" w:hAnsi="Arial" w:cs="Arial"/>
          <w:color w:val="6F7074"/>
        </w:rPr>
      </w:pPr>
      <w:r>
        <w:rPr>
          <w:rFonts w:cs="Tahoma" w:ascii="Tahoma" w:hAnsi="Tahoma"/>
          <w:color w:val="6F7074"/>
        </w:rPr>
        <w:t>Landlords, Housewives &amp; Retired Individuals with consistent Rental Income/Foreign Remittances.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="280" w:after="280"/>
        <w:ind w:left="0" w:hanging="360"/>
        <w:rPr>
          <w:rFonts w:ascii="Arial" w:hAnsi="Arial" w:cs="Arial"/>
          <w:color w:val="6F7074"/>
        </w:rPr>
      </w:pPr>
      <w:r>
        <w:rPr>
          <w:rFonts w:cs="Tahoma" w:ascii="Tahoma" w:hAnsi="Tahoma"/>
          <w:color w:val="6F7074"/>
        </w:rPr>
        <w:t>Government / Semi Government employees and Employees of Armed Forces.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Eligibility Criteria</w:t>
      </w:r>
    </w:p>
    <w:p>
      <w:pPr>
        <w:pStyle w:val="NormalWeb"/>
        <w:shd w:val="clear" w:color="auto" w:fill="FFFFFF"/>
        <w:spacing w:before="280" w:after="280"/>
        <w:rPr>
          <w:rFonts w:ascii="Tahoma" w:hAnsi="Tahoma" w:cs="Tahoma"/>
          <w:color w:val="6F7074"/>
        </w:rPr>
      </w:pPr>
      <w:r>
        <w:rPr>
          <w:rFonts w:cs="Tahoma" w:ascii="Tahoma" w:hAnsi="Tahoma"/>
          <w:color w:val="6F7074"/>
        </w:rPr>
        <w:t>The plan is available to all Bank Alfalah Limited customers between 18 to 65 years of age.</w:t>
      </w:r>
    </w:p>
    <w:p>
      <w:pPr>
        <w:pStyle w:val="NormalWeb"/>
        <w:shd w:val="clear" w:color="auto" w:fill="FFFFFF"/>
        <w:spacing w:before="280" w:after="280"/>
        <w:rPr>
          <w:rFonts w:ascii="Tahoma" w:hAnsi="Tahoma" w:cs="Tahoma"/>
          <w:color w:val="6F7074"/>
        </w:rPr>
      </w:pPr>
      <w:r>
        <w:rPr>
          <w:rFonts w:cs="Tahoma" w:ascii="Tahoma" w:hAnsi="Tahoma"/>
          <w:color w:val="6F7074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6F7074"/>
          <w:sz w:val="24"/>
          <w:szCs w:val="24"/>
        </w:rPr>
      </w:pPr>
      <w:r>
        <w:rPr>
          <w:rFonts w:eastAsia="Times New Roman" w:cs="Tahoma" w:ascii="Tahoma" w:hAnsi="Tahoma"/>
          <w:b/>
          <w:bCs/>
          <w:color w:val="003366"/>
          <w:sz w:val="24"/>
          <w:szCs w:val="24"/>
          <w:u w:val="single"/>
        </w:rPr>
        <w:t>Documentation: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="0"/>
        <w:ind w:left="0" w:hanging="360"/>
        <w:rPr>
          <w:rFonts w:ascii="Arial" w:hAnsi="Arial" w:eastAsia="Times New Roman" w:cs="Arial"/>
          <w:color w:val="6F7074"/>
          <w:sz w:val="23"/>
          <w:szCs w:val="23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Complete auto debit form with customer’s signatures,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0" w:hanging="360"/>
        <w:rPr>
          <w:rFonts w:ascii="Arial" w:hAnsi="Arial" w:eastAsia="Times New Roman" w:cs="Arial"/>
          <w:color w:val="6F7074"/>
          <w:sz w:val="23"/>
          <w:szCs w:val="23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Copy of CNIC/NICOP/POC/Smart ID (original seen by Sales)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Autospacing="1"/>
        <w:ind w:left="0" w:hanging="360"/>
        <w:rPr>
          <w:rFonts w:ascii="Arial" w:hAnsi="Arial" w:eastAsia="Times New Roman" w:cs="Arial"/>
          <w:color w:val="6F7074"/>
          <w:sz w:val="23"/>
          <w:szCs w:val="23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Declaration form and T&amp;C signed by customers.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6F7074"/>
          <w:sz w:val="24"/>
          <w:szCs w:val="24"/>
        </w:rPr>
      </w:pPr>
      <w:r>
        <w:rPr>
          <w:rFonts w:eastAsia="Times New Roman" w:cs="Tahoma" w:ascii="Tahoma" w:hAnsi="Tahoma"/>
          <w:b/>
          <w:bCs/>
          <w:color w:val="003366"/>
          <w:sz w:val="24"/>
          <w:szCs w:val="24"/>
          <w:u w:val="single"/>
        </w:rPr>
        <w:t>Claims: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6F7074"/>
          <w:sz w:val="24"/>
          <w:szCs w:val="24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Following are the requirements for Claims settlement: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="0"/>
        <w:ind w:left="0" w:hanging="360"/>
        <w:rPr>
          <w:rFonts w:ascii="Arial" w:hAnsi="Arial" w:eastAsia="Times New Roman" w:cs="Arial"/>
          <w:color w:val="6F7074"/>
          <w:sz w:val="23"/>
          <w:szCs w:val="23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Claimant’s Statement to be completed and signed by you : Download the form from the this link </w:t>
      </w:r>
      <w:hyperlink r:id="rId2" w:tgtFrame="_blank">
        <w:r>
          <w:rPr>
            <w:rFonts w:eastAsia="Times New Roman" w:cs="Tahoma" w:ascii="Tahoma" w:hAnsi="Tahoma"/>
            <w:color w:val="C41000"/>
            <w:sz w:val="24"/>
            <w:szCs w:val="24"/>
            <w:u w:val="single"/>
          </w:rPr>
          <w:t>http://igilife.com.pk/downloads/claim-forms/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0" w:hanging="360"/>
        <w:rPr>
          <w:rFonts w:ascii="Arial" w:hAnsi="Arial" w:eastAsia="Times New Roman" w:cs="Arial"/>
          <w:color w:val="6F7074"/>
          <w:sz w:val="23"/>
          <w:szCs w:val="23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Physician’s Statement to be filled by the Physician who treated/attended the deceased : Download the form from the this link </w:t>
      </w:r>
      <w:hyperlink r:id="rId3" w:tgtFrame="_blank">
        <w:r>
          <w:rPr>
            <w:rFonts w:eastAsia="Times New Roman" w:cs="Tahoma" w:ascii="Tahoma" w:hAnsi="Tahoma"/>
            <w:color w:val="C41000"/>
            <w:sz w:val="24"/>
            <w:szCs w:val="24"/>
            <w:u w:val="single"/>
          </w:rPr>
          <w:t>http://igilife.com.pk/downloads/claim-forms/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0" w:hanging="360"/>
        <w:rPr>
          <w:rFonts w:ascii="Arial" w:hAnsi="Arial" w:eastAsia="Times New Roman" w:cs="Arial"/>
          <w:color w:val="6F7074"/>
          <w:sz w:val="23"/>
          <w:szCs w:val="23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Original Union Council Death Certificate which will be returned to you OR copy duly attested by Union Council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0" w:hanging="360"/>
        <w:rPr>
          <w:rFonts w:ascii="Arial" w:hAnsi="Arial" w:eastAsia="Times New Roman" w:cs="Arial"/>
          <w:color w:val="6F7074"/>
          <w:sz w:val="23"/>
          <w:szCs w:val="23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Copy of hospital death certificate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0" w:hanging="360"/>
        <w:rPr>
          <w:rFonts w:ascii="Arial" w:hAnsi="Arial" w:eastAsia="Times New Roman" w:cs="Arial"/>
          <w:color w:val="6F7074"/>
          <w:sz w:val="23"/>
          <w:szCs w:val="23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Original Policy Document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0" w:hanging="360"/>
        <w:rPr>
          <w:rFonts w:ascii="Arial" w:hAnsi="Arial" w:eastAsia="Times New Roman" w:cs="Arial"/>
          <w:color w:val="6F7074"/>
          <w:sz w:val="23"/>
          <w:szCs w:val="23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All previous and current medical treatment record of deceased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0" w:hanging="360"/>
        <w:rPr>
          <w:rFonts w:ascii="Arial" w:hAnsi="Arial" w:eastAsia="Times New Roman" w:cs="Arial"/>
          <w:color w:val="6F7074"/>
          <w:sz w:val="23"/>
          <w:szCs w:val="23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Copies of CNIC’s of Beneficiary &amp; Deceased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0" w:hanging="360"/>
        <w:rPr>
          <w:rFonts w:ascii="Arial" w:hAnsi="Arial" w:eastAsia="Times New Roman" w:cs="Arial"/>
          <w:color w:val="6F7074"/>
          <w:sz w:val="23"/>
          <w:szCs w:val="23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Copy of FIR/Police Report duly attested by the issuing authority (In case of accident)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Autospacing="1"/>
        <w:ind w:left="0" w:hanging="360"/>
        <w:rPr>
          <w:rFonts w:ascii="Arial" w:hAnsi="Arial" w:eastAsia="Times New Roman" w:cs="Arial"/>
          <w:color w:val="6F7074"/>
          <w:sz w:val="23"/>
          <w:szCs w:val="23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Copy of Post Mortem Report duly attested by the issuing authority (In case of accident)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6F7074"/>
          <w:sz w:val="24"/>
          <w:szCs w:val="24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Note: Further requirements can be asked for depending on the case.</w:t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  <w:color w:val="6F7074"/>
        </w:rPr>
      </w:pPr>
      <w:r>
        <w:rPr>
          <w:rFonts w:cs="Arial" w:ascii="Arial" w:hAnsi="Arial"/>
          <w:color w:val="6F7074"/>
        </w:rPr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  <w:color w:val="6F7074"/>
        </w:rPr>
      </w:pPr>
      <w:r>
        <w:rPr>
          <w:rFonts w:cs="Arial" w:ascii="Arial" w:hAnsi="Arial"/>
          <w:color w:val="6F7074"/>
        </w:rPr>
        <w:t>Associated Charges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Autospacing="1" w:after="0"/>
        <w:ind w:left="0" w:hanging="360"/>
        <w:rPr>
          <w:rFonts w:ascii="Arial" w:hAnsi="Arial" w:eastAsia="Times New Roman" w:cs="Arial"/>
          <w:color w:val="6F7074"/>
          <w:sz w:val="23"/>
          <w:szCs w:val="23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Management Fee: 25% of each month’s Takaful contribution from PTF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0" w:hanging="360"/>
        <w:rPr>
          <w:rFonts w:ascii="Arial" w:hAnsi="Arial" w:eastAsia="Times New Roman" w:cs="Arial"/>
          <w:color w:val="6F7074"/>
          <w:sz w:val="23"/>
          <w:szCs w:val="23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5% Bid offer spread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0" w:hanging="360"/>
        <w:rPr>
          <w:rFonts w:ascii="Arial" w:hAnsi="Arial" w:eastAsia="Times New Roman" w:cs="Arial"/>
          <w:color w:val="6F7074"/>
          <w:sz w:val="23"/>
          <w:szCs w:val="23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Administration Fee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0" w:hanging="360"/>
        <w:rPr>
          <w:rFonts w:ascii="Arial" w:hAnsi="Arial" w:eastAsia="Times New Roman" w:cs="Arial"/>
          <w:color w:val="6F7074"/>
          <w:sz w:val="23"/>
          <w:szCs w:val="23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Transfer Fee- PKR 500 for fund switches.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Autospacing="1"/>
        <w:ind w:left="0" w:hanging="360"/>
        <w:rPr>
          <w:rFonts w:ascii="Arial" w:hAnsi="Arial" w:eastAsia="Times New Roman" w:cs="Arial"/>
          <w:color w:val="6F7074"/>
          <w:sz w:val="23"/>
          <w:szCs w:val="23"/>
        </w:rPr>
      </w:pPr>
      <w:r>
        <w:rPr>
          <w:rFonts w:eastAsia="Times New Roman" w:cs="Tahoma" w:ascii="Tahoma" w:hAnsi="Tahoma"/>
          <w:color w:val="6F7074"/>
          <w:sz w:val="24"/>
          <w:szCs w:val="24"/>
        </w:rPr>
        <w:t>Wakalah Istismaar Fee:0.125% of PIA value per month</w:t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  <w:color w:val="6F7074"/>
        </w:rPr>
      </w:pPr>
      <w:r>
        <w:rPr>
          <w:rFonts w:cs="Arial" w:ascii="Arial" w:hAnsi="Arial"/>
          <w:color w:val="6F7074"/>
        </w:rPr>
      </w:r>
      <w:bookmarkStart w:id="0" w:name="_GoBack"/>
      <w:bookmarkStart w:id="1" w:name="_GoBack"/>
      <w:bookmarkEnd w:id="1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270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c554883985e9e30e1880882" descr="{&quot;HashCode&quot;:1915505678,&quot;Height&quot;:792.0,&quot;Width&quot;:612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rFonts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lIns="254160"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0c554883985e9e30e1880882" path="m0,0l-2147483645,0l-2147483645,-2147483646l0,-2147483646xe" stroked="f" o:allowincell="f" style="position:absolute;margin-left:0pt;margin-top:755.45pt;width:611.95pt;height:21.45pt;mso-wrap-style:square;v-text-anchor:bottom;mso-position-horizontal-relative:page;mso-position-vertical-relative:pag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>
                      <w:rPr>
                        <w:rFonts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7d3d84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d3d8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3d8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d3d8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olorred" w:customStyle="1">
    <w:name w:val="colorred"/>
    <w:basedOn w:val="Normal"/>
    <w:qFormat/>
    <w:rsid w:val="007d3d8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d3d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3d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gilife.com.pk/downloads/claim-forms/" TargetMode="External"/><Relationship Id="rId3" Type="http://schemas.openxmlformats.org/officeDocument/2006/relationships/hyperlink" Target="http://igilife.com.pk/downloads/claim-forms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3</Pages>
  <Words>606</Words>
  <Characters>3279</Characters>
  <CharactersWithSpaces>3779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2024-09-27T11:07:00Z</dcterms:created>
  <dc:creator>Vivek Dilip Karacasia -25145</dc:creator>
  <dc:description/>
  <dc:language>en-US</dc:language>
  <cp:lastModifiedBy>Vivek Dilip Karacasia -25145</cp:lastModifiedBy>
  <dcterms:modified xsi:type="dcterms:W3CDTF">2024-09-27T11:08:00Z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ActionId">
    <vt:lpwstr>2f775b26-0003-409c-a791-5031a391a368</vt:lpwstr>
  </property>
  <property fmtid="{D5CDD505-2E9C-101B-9397-08002B2CF9AE}" pid="3" name="MSIP_Label_4f2c76d5-45ba-4a63-8701-27a8aa3796e4_ContentBits">
    <vt:lpwstr>2</vt:lpwstr>
  </property>
  <property fmtid="{D5CDD505-2E9C-101B-9397-08002B2CF9AE}" pid="4" name="MSIP_Label_4f2c76d5-45ba-4a63-8701-27a8aa3796e4_Enabled">
    <vt:lpwstr>true</vt:lpwstr>
  </property>
  <property fmtid="{D5CDD505-2E9C-101B-9397-08002B2CF9AE}" pid="5" name="MSIP_Label_4f2c76d5-45ba-4a63-8701-27a8aa3796e4_Method">
    <vt:lpwstr>Standard</vt:lpwstr>
  </property>
  <property fmtid="{D5CDD505-2E9C-101B-9397-08002B2CF9AE}" pid="6" name="MSIP_Label_4f2c76d5-45ba-4a63-8701-27a8aa3796e4_Name">
    <vt:lpwstr>Policy Document</vt:lpwstr>
  </property>
  <property fmtid="{D5CDD505-2E9C-101B-9397-08002B2CF9AE}" pid="7" name="MSIP_Label_4f2c76d5-45ba-4a63-8701-27a8aa3796e4_SetDate">
    <vt:lpwstr>2024-09-27T11:08:33Z</vt:lpwstr>
  </property>
  <property fmtid="{D5CDD505-2E9C-101B-9397-08002B2CF9AE}" pid="8" name="MSIP_Label_4f2c76d5-45ba-4a63-8701-27a8aa3796e4_SiteId">
    <vt:lpwstr>2b4fe597-5658-4fa0-888b-881e4da6b121</vt:lpwstr>
  </property>
</Properties>
</file>