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Dispatch and Routing SOP</w:t>
      </w:r>
    </w:p>
    <w:p>
      <w:pPr>
        <w:pStyle w:val="Heading1"/>
      </w:pPr>
      <w:r>
        <w:t>1. Requirement 1</w:t>
      </w:r>
    </w:p>
    <w:p>
      <w:r>
        <w:t>Personnel must complete dispatch and routing sop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dispatch and routing sop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dispatch and routing sop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dispatch and routing sop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dispatch and routing sop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dispatch and routing sop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dispatch and routing sop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dispatch and routing sop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