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Superseded Field Safety Manual</w:t>
      </w:r>
    </w:p>
    <w:p>
      <w:pPr>
        <w:pStyle w:val="Heading1"/>
      </w:pPr>
      <w:r>
        <w:t>1. Requirement 1</w:t>
      </w:r>
    </w:p>
    <w:p>
      <w:r>
        <w:t>OBSOLETE: Field Safety Manual control 1 used a previous process.</w:t>
      </w:r>
    </w:p>
    <w:p>
      <w:pPr>
        <w:pStyle w:val="Heading1"/>
      </w:pPr>
      <w:r>
        <w:t>2. Requirement 2</w:t>
      </w:r>
    </w:p>
    <w:p>
      <w:r>
        <w:t>OBSOLETE: Field Safety Manual control 2 used a previous process.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