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Ethics and Gifts Policy</w:t>
      </w:r>
    </w:p>
    <w:p>
      <w:pPr>
        <w:pStyle w:val="Heading1"/>
      </w:pPr>
      <w:r>
        <w:t>1. Requirement 1</w:t>
      </w:r>
    </w:p>
    <w:p>
      <w:r>
        <w:t>Personnel must complete ethics and gifts policy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ethics and gifts policy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ethics and gifts policy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ethics and gifts policy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ethics and gifts policy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ethics and gifts policy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ethics and gifts policy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ethics and gifts policy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