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Security Incident Response SOP</w:t>
      </w:r>
    </w:p>
    <w:p>
      <w:pPr>
        <w:pStyle w:val="Heading1"/>
      </w:pPr>
      <w:r>
        <w:t>1. Requirement 1</w:t>
      </w:r>
    </w:p>
    <w:p>
      <w:r>
        <w:t>Personnel must complete security incident response sop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security incident response sop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security incident response sop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security incident response sop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security incident response sop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security incident response sop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security incident response sop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security incident response sop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