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Leave and Availability Policy</w:t>
      </w:r>
    </w:p>
    <w:p>
      <w:pPr>
        <w:pStyle w:val="Heading1"/>
      </w:pPr>
      <w:r>
        <w:t>1. Requirement 1</w:t>
      </w:r>
    </w:p>
    <w:p>
      <w:r>
        <w:t>Personnel must complete leave and availability policy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leave and availability policy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leave and availability policy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leave and availability policy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leave and availability policy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leave and availability policy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leave and availability policy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leave and availability policy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