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Business Continuity Procedure</w:t>
      </w:r>
    </w:p>
    <w:p>
      <w:pPr>
        <w:pStyle w:val="Heading1"/>
      </w:pPr>
      <w:r>
        <w:t>1. Requirement 1</w:t>
      </w:r>
    </w:p>
    <w:p>
      <w:r>
        <w:t>Personnel must complete business continuity procedure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business continuity procedure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business continuity procedure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business continuity procedure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business continuity procedure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business continuity procedure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business continuity procedure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business continuity procedure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