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Expense Controls Procedure</w:t>
      </w:r>
    </w:p>
    <w:p>
      <w:pPr>
        <w:pStyle w:val="Heading1"/>
      </w:pPr>
      <w:r>
        <w:t>1. Requirement 1</w:t>
      </w:r>
    </w:p>
    <w:p>
      <w:r>
        <w:t>Personnel must complete expense controls procedure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expense controls procedure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expense controls procedure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expense controls procedure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expense controls procedure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expense controls procedure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expense controls procedure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expense controls procedure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