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B03A2E"/>
          <w:sz w:val="18"/>
          <w:szCs w:val="18"/>
        </w:rPr>
        <w:t xml:space="preserve">FORTYGUARD HACKATHON ’26  ·  PRODUCT VISION v2</w:t>
      </w:r>
    </w:p>
    <w:p>
      <w:pPr>
        <w:spacing w:after="40"/>
      </w:pPr>
      <w:r>
        <w:rPr>
          <w:rFonts w:ascii="Calibri" w:cs="Calibri" w:eastAsia="Calibri" w:hAnsi="Calibri"/>
          <w:b/>
          <w:bCs/>
          <w:color w:val="1B2631"/>
          <w:sz w:val="68"/>
          <w:szCs w:val="68"/>
        </w:rPr>
        <w:t xml:space="preserve">TRIGGER</w:t>
      </w:r>
    </w:p>
    <w:p>
      <w:pPr>
        <w:spacing w:after="120"/>
      </w:pPr>
      <w:r>
        <w:rPr>
          <w:rFonts w:ascii="Calibri" w:cs="Calibri" w:eastAsia="Calibri" w:hAnsi="Calibri"/>
          <w:color w:val="5D6D7E"/>
          <w:sz w:val="32"/>
          <w:szCs w:val="32"/>
        </w:rPr>
        <w:t xml:space="preserve">The Heat Action Plan Compiler</w:t>
      </w:r>
    </w:p>
    <w:p>
      <w:pPr>
        <w:pBdr>
          <w:bottom w:val="single" w:color="B03A2E" w:sz="12" w:space="6"/>
        </w:pBdr>
        <w:spacing w:after="200"/>
      </w:pPr>
      <w:r>
        <w:rPr>
          <w:sz w:val="2"/>
          <w:szCs w:val="2"/>
        </w:rPr>
        <w:t xml:space="preserve"/>
      </w:r>
    </w:p>
    <w:p>
      <w:pPr>
        <w:spacing w:after="120" w:before="0" w:line="276"/>
      </w:pPr>
      <w:r>
        <w:rPr>
          <w:rFonts w:ascii="Calibri" w:cs="Calibri" w:eastAsia="Calibri" w:hAnsi="Calibri"/>
          <w:b/>
          <w:bCs/>
          <w:color w:val="1B2631"/>
          <w:sz w:val="22"/>
          <w:szCs w:val="22"/>
        </w:rPr>
        <w:t xml:space="preserve">Core thesis: </w:t>
      </w:r>
      <w:r>
        <w:rPr>
          <w:rFonts w:ascii="Calibri" w:cs="Calibri" w:eastAsia="Calibri" w:hAnsi="Calibri"/>
          <w:color w:val="1B2631"/>
          <w:sz w:val="22"/>
          <w:szCs w:val="22"/>
        </w:rPr>
        <w:t xml:space="preserve">Cities already have heat laws. They are enforced with the wrong sensor. TRIGGER compiles a published Heat Action Plan into executable rules, re-evaluates every clause against FortyGuard’s 2-metre data, and measures exactly how much protection the current citywide trigger is losing — in hours, in neighbourhoods, and in clauses that never fire at all.</w:t>
      </w:r>
    </w:p>
    <w:p>
      <w:pPr>
        <w:spacing w:after="80"/>
      </w:pPr>
      <w:r>
        <w:rPr>
          <w:sz w:val="2"/>
          <w:szCs w:val="2"/>
        </w:rPr>
        <w:t xml:space="preserve"/>
      </w:r>
    </w:p>
    <w:p>
      <w:pPr>
        <w:spacing w:after="120" w:before="0" w:line="276"/>
      </w:pPr>
      <w:r>
        <w:rPr>
          <w:rFonts w:ascii="Calibri" w:cs="Calibri" w:eastAsia="Calibri" w:hAnsi="Calibri"/>
          <w:b/>
          <w:bCs/>
          <w:color w:val="5D6D7E"/>
          <w:sz w:val="18"/>
          <w:szCs w:val="18"/>
        </w:rPr>
        <w:t xml:space="preserve">Supersedes: </w:t>
      </w:r>
      <w:r>
        <w:rPr>
          <w:rFonts w:ascii="Calibri" w:cs="Calibri" w:eastAsia="Calibri" w:hAnsi="Calibri"/>
          <w:color w:val="5D6D7E"/>
          <w:sz w:val="18"/>
          <w:szCs w:val="18"/>
        </w:rPr>
        <w:t xml:space="preserve">Thermal Mission Control — Product Vision v1. Thesis, research base and track logic retained; scope and centre of gravity revised.</w:t>
      </w:r>
    </w:p>
    <w:p>
      <w:pPr>
        <w:spacing w:after="120" w:before="0" w:line="276"/>
      </w:pPr>
      <w:r>
        <w:rPr>
          <w:rFonts w:ascii="Calibri" w:cs="Calibri" w:eastAsia="Calibri" w:hAnsi="Calibri"/>
          <w:b/>
          <w:bCs/>
          <w:color w:val="5D6D7E"/>
          <w:sz w:val="18"/>
          <w:szCs w:val="18"/>
        </w:rPr>
        <w:t xml:space="preserve">Status: </w:t>
      </w:r>
      <w:r>
        <w:rPr>
          <w:rFonts w:ascii="Calibri" w:cs="Calibri" w:eastAsia="Calibri" w:hAnsi="Calibri"/>
          <w:color w:val="5D6D7E"/>
          <w:sz w:val="18"/>
          <w:szCs w:val="18"/>
        </w:rPr>
        <w:t xml:space="preserve">For team decision. Build window 20–30 August 2026 (10 days). Submission deadline 30 Aug, 11:59 PM GST = 31 Aug, 12:59 AM PKT.</w:t>
      </w:r>
    </w:p>
    <w:p>
      <w:pPr>
        <w:pStyle w:val="Heading1"/>
        <w:spacing w:after="160" w:before="360"/>
      </w:pPr>
      <w:r>
        <w:rPr>
          <w:rFonts w:ascii="Calibri" w:cs="Calibri" w:eastAsia="Calibri" w:hAnsi="Calibri"/>
          <w:b/>
          <w:bCs/>
          <w:color w:val="B03A2E"/>
          <w:sz w:val="30"/>
          <w:szCs w:val="30"/>
        </w:rPr>
        <w:t xml:space="preserve">1. What changed from v1, and why</w:t>
      </w:r>
    </w:p>
    <w:p>
      <w:pPr>
        <w:spacing w:after="120" w:before="0" w:line="276"/>
      </w:pPr>
      <w:r>
        <w:rPr>
          <w:rFonts w:ascii="Calibri" w:cs="Calibri" w:eastAsia="Calibri" w:hAnsi="Calibri"/>
          <w:color w:val="1B2631"/>
          <w:sz w:val="21"/>
          <w:szCs w:val="21"/>
        </w:rPr>
        <w:t xml:space="preserve">Version 1 was right about the problem, right about the research, and right about what to avoid. Its "What we deliberately remove" section is the strongest part of the document and is carried forward intact. Three things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shd w:fill="1B2631"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v1 decision</w:t>
            </w:r>
          </w:p>
        </w:tc>
        <w:tc>
          <w:tcPr>
            <w:tcW w:type="dxa" w:w="2900"/>
            <w:shd w:fill="1B2631"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v2 decision</w:t>
            </w:r>
          </w:p>
        </w:tc>
        <w:tc>
          <w:tcPr>
            <w:tcW w:type="dxa" w:w="3860"/>
            <w:shd w:fill="1B2631"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Reason</w:t>
            </w:r>
          </w:p>
        </w:tc>
      </w:tr>
      <w:tr>
        <w:tc>
          <w:tcPr>
            <w:tcW w:type="dxa" w:w="26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Five agents, globe UI, open natural-language mission box, multi-domain mission engine</w:t>
            </w:r>
          </w:p>
        </w:tc>
        <w:tc>
          <w:tcPr>
            <w:tcW w:type="dxa" w:w="29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One pipeline with three working stages and a fixed set of demo missions</w:t>
            </w:r>
          </w:p>
        </w:tc>
        <w:tc>
          <w:tcPr>
            <w:tcW w:type="dxa" w:w="386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Ten days, team of up to three. v1 is a Series A roadmap, not a hackathon build. Scope is the most common cause of hackathon failure.</w:t>
            </w:r>
          </w:p>
        </w:tc>
      </w:tr>
      <w:tr>
        <w:tc>
          <w:tcPr>
            <w:tcW w:type="dxa" w:w="26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Policy Agent listed fourth of five</w:t>
            </w:r>
          </w:p>
        </w:tc>
        <w:tc>
          <w:tcPr>
            <w:tcW w:type="dxa" w:w="29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Policy compilation is the entire product</w:t>
            </w:r>
          </w:p>
        </w:tc>
        <w:tc>
          <w:tcPr>
            <w:tcW w:type="dxa" w:w="386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It is the only genuinely uncontested mechanism in the field. Everything else in v1 is a wrapper around it.</w:t>
            </w:r>
          </w:p>
        </w:tc>
      </w:tr>
      <w:tr>
        <w:tc>
          <w:tcPr>
            <w:tcW w:type="dxa" w:w="26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Primary track: 06 Agentic AI</w:t>
            </w:r>
          </w:p>
        </w:tc>
        <w:tc>
          <w:tcPr>
            <w:tcW w:type="dxa" w:w="29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Primary track: 04 Government &amp; Environment, co-primary 07 Data Analysis &amp; Correlation</w:t>
            </w:r>
          </w:p>
        </w:tc>
        <w:tc>
          <w:tcPr>
            <w:tcW w:type="dxa" w:w="386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Track 06 is the most saturated track in the competition. See section 9.</w:t>
            </w:r>
          </w:p>
        </w:tc>
      </w:tr>
      <w:tr>
        <w:tc>
          <w:tcPr>
            <w:tcW w:type="dxa" w:w="26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Impact stated qualitatively ("evidence-backed action plan")</w:t>
            </w:r>
          </w:p>
        </w:tc>
        <w:tc>
          <w:tcPr>
            <w:tcW w:type="dxa" w:w="29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A single quantified headline metric: Trigger Divergence</w:t>
            </w:r>
          </w:p>
        </w:tc>
        <w:tc>
          <w:tcPr>
            <w:tcW w:type="dxa" w:w="386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Impact &amp; Relevance is 40% of the score. Competing entries already quantify in currency and lives.</w:t>
            </w:r>
          </w:p>
        </w:tc>
      </w:tr>
    </w:tbl>
    <w:p>
      <w:pPr>
        <w:spacing w:after="120"/>
      </w:pPr>
      <w:r>
        <w:rPr>
          <w:sz w:val="2"/>
          <w:szCs w:val="2"/>
        </w:rPr>
        <w:t xml:space="preserve"/>
      </w:r>
    </w:p>
    <w:p>
      <w:pPr>
        <w:spacing w:after="120" w:before="0" w:line="276"/>
      </w:pPr>
      <w:r>
        <w:rPr>
          <w:rFonts w:ascii="Calibri" w:cs="Calibri" w:eastAsia="Calibri" w:hAnsi="Calibri"/>
          <w:b/>
          <w:bCs/>
          <w:color w:val="1B2631"/>
          <w:sz w:val="21"/>
          <w:szCs w:val="21"/>
        </w:rPr>
        <w:t xml:space="preserve">Everything else survives: </w:t>
      </w:r>
      <w:r>
        <w:rPr>
          <w:rFonts w:ascii="Calibri" w:cs="Calibri" w:eastAsia="Calibri" w:hAnsi="Calibri"/>
          <w:color w:val="1B2631"/>
          <w:sz w:val="21"/>
          <w:szCs w:val="21"/>
        </w:rPr>
        <w:t xml:space="preserve">the thesis, the Karachi framing, the FortyGuard-primary data rule, the counterfactual requirement, and the success criteria.</w:t>
      </w:r>
    </w:p>
    <w:p>
      <w:pPr>
        <w:pStyle w:val="Heading1"/>
        <w:spacing w:after="160" w:before="360"/>
      </w:pPr>
      <w:r>
        <w:rPr>
          <w:rFonts w:ascii="Calibri" w:cs="Calibri" w:eastAsia="Calibri" w:hAnsi="Calibri"/>
          <w:b/>
          <w:bCs/>
          <w:color w:val="B03A2E"/>
          <w:sz w:val="30"/>
          <w:szCs w:val="30"/>
        </w:rPr>
        <w:t xml:space="preserve">2. The problem</w:t>
      </w:r>
    </w:p>
    <w:p>
      <w:pPr>
        <w:spacing w:after="120" w:before="0" w:line="276"/>
      </w:pPr>
      <w:r>
        <w:rPr>
          <w:rFonts w:ascii="Calibri" w:cs="Calibri" w:eastAsia="Calibri" w:hAnsi="Calibri"/>
          <w:color w:val="1B2631"/>
          <w:sz w:val="21"/>
          <w:szCs w:val="21"/>
        </w:rPr>
        <w:t xml:space="preserve">After the 2015 heat disaster, South Asian cities did the hard institutional work. Heat Action Plans now exist: legally recognised documents that name thresholds, name actions, and name the officers responsible for taking them. The plans are not the gap.</w:t>
      </w:r>
    </w:p>
    <w:p>
      <w:pPr>
        <w:spacing w:after="120" w:before="0" w:line="276"/>
      </w:pPr>
      <w:r>
        <w:rPr>
          <w:rFonts w:ascii="Calibri" w:cs="Calibri" w:eastAsia="Calibri" w:hAnsi="Calibri"/>
          <w:color w:val="1B2631"/>
          <w:sz w:val="21"/>
          <w:szCs w:val="21"/>
        </w:rPr>
        <w:t xml:space="preserve">The gap is that these plans are executed against a sensor that cannot see the city they govern.</w:t>
      </w:r>
    </w:p>
    <w:p>
      <w:pPr>
        <w:spacing w:after="120" w:before="0" w:line="276"/>
      </w:pPr>
      <w:r>
        <w:rPr>
          <w:rFonts w:ascii="Calibri" w:cs="Calibri" w:eastAsia="Calibri" w:hAnsi="Calibri"/>
          <w:color w:val="1B2631"/>
          <w:sz w:val="21"/>
          <w:szCs w:val="21"/>
        </w:rPr>
        <w:t xml:space="preserve">A Heat Action Plan is triggered by a single citywide number, typically from one or two meteorological stations, usually sited at an airport on the urban fringe. Every clause in the plan — every cooling centre opening, every work-pause mandate, every hospital surge protocol — waits on that one reading. But heat is not a citywide quantity. A shaded street and an exposed one a block away differ by several degrees, and the difference in exposure duration is far larger than the difference in peak temperature.</w:t>
      </w:r>
    </w:p>
    <w:p>
      <w:pPr>
        <w:spacing w:after="120" w:before="0" w:line="276"/>
      </w:pPr>
      <w:r>
        <w:rPr>
          <w:rFonts w:ascii="Calibri" w:cs="Calibri" w:eastAsia="Calibri" w:hAnsi="Calibri"/>
          <w:color w:val="1B2631"/>
          <w:sz w:val="21"/>
          <w:szCs w:val="21"/>
        </w:rPr>
        <w:t xml:space="preserve">So the plan fires late in the neighbourhoods that need it soonest, and in some neighbourhoods it never fires at all. Nobody currently measures this, because measuring it requires temperature data at the resolution people actually live at.</w:t>
      </w:r>
    </w:p>
    <w:p>
      <w:pPr>
        <w:pBdr>
          <w:top w:val="none"/>
          <w:bottom w:val="none"/>
          <w:left w:val="single" w:color="B03A2E" w:sz="18" w:space="8"/>
          <w:right w:val="none"/>
        </w:pBdr>
        <w:shd w:fill="FDEDEC" w:val="clear"/>
        <w:spacing w:after="200" w:before="160" w:line="276"/>
        <w:ind w:left="200" w:right="200"/>
      </w:pPr>
      <w:r>
        <w:rPr>
          <w:rFonts w:ascii="Calibri" w:cs="Calibri" w:eastAsia="Calibri" w:hAnsi="Calibri"/>
          <w:b/>
          <w:bCs/>
          <w:color w:val="922B21"/>
          <w:sz w:val="21"/>
          <w:szCs w:val="21"/>
        </w:rPr>
        <w:t xml:space="preserve">The plan is right. The sensing is wrong. We do not rewrite the plan — we re-sense it, and we put a number on what the old sensor was costing.</w:t>
      </w:r>
    </w:p>
    <w:p>
      <w:pPr>
        <w:pStyle w:val="Heading2"/>
        <w:spacing w:after="120" w:before="260"/>
      </w:pPr>
      <w:r>
        <w:rPr>
          <w:rFonts w:ascii="Calibri" w:cs="Calibri" w:eastAsia="Calibri" w:hAnsi="Calibri"/>
          <w:b/>
          <w:bCs/>
          <w:color w:val="1B2631"/>
          <w:sz w:val="24"/>
          <w:szCs w:val="24"/>
        </w:rPr>
        <w:t xml:space="preserve">2.1  Research basis carried forward from v1</w:t>
      </w:r>
    </w:p>
    <w:p>
      <w:pPr>
        <w:spacing w:after="120" w:before="0" w:line="276"/>
      </w:pPr>
      <w:r>
        <w:rPr>
          <w:rFonts w:ascii="Calibri" w:cs="Calibri" w:eastAsia="Calibri" w:hAnsi="Calibri"/>
          <w:color w:val="1B2631"/>
          <w:sz w:val="21"/>
          <w:szCs w:val="21"/>
        </w:rPr>
        <w:t xml:space="preserve">A 2025 assessment of eight Indian city heat-action plans found long-term planning, vulnerable-population care, health-system preparedness and real-time surveillance among the least developed areas, with only three plans mentioning the use of surveillance data to dynamically adjust measures. A separate 2025 urban-climate framework described many plans as crisis-oriented, stand-alone documents with limited contextual adaptation. Both findings point at the same missing capability: the plans are static, and nothing continuously re-evaluates them against live conditions.</w:t>
      </w:r>
    </w:p>
    <w:p>
      <w:pPr>
        <w:spacing w:after="120" w:before="0" w:line="276"/>
      </w:pPr>
      <w:r>
        <w:rPr>
          <w:rFonts w:ascii="Calibri" w:cs="Calibri" w:eastAsia="Calibri" w:hAnsi="Calibri"/>
          <w:b/>
          <w:bCs/>
          <w:color w:val="5D6D7E"/>
          <w:sz w:val="19"/>
          <w:szCs w:val="19"/>
        </w:rPr>
        <w:t xml:space="preserve">Note for the team: </w:t>
      </w:r>
      <w:r>
        <w:rPr>
          <w:rFonts w:ascii="Calibri" w:cs="Calibri" w:eastAsia="Calibri" w:hAnsi="Calibri"/>
          <w:color w:val="5D6D7E"/>
          <w:sz w:val="19"/>
          <w:szCs w:val="19"/>
        </w:rPr>
        <w:t xml:space="preserve">re-verify these two citations and capture full references before submission. Judges may check them, and a broken citation costs more than the claim is worth.</w:t>
      </w:r>
    </w:p>
    <w:p>
      <w:pPr>
        <w:pStyle w:val="Heading1"/>
        <w:spacing w:after="160" w:before="360"/>
      </w:pPr>
      <w:r>
        <w:rPr>
          <w:rFonts w:ascii="Calibri" w:cs="Calibri" w:eastAsia="Calibri" w:hAnsi="Calibri"/>
          <w:b/>
          <w:bCs/>
          <w:color w:val="B03A2E"/>
          <w:sz w:val="30"/>
          <w:szCs w:val="30"/>
        </w:rPr>
        <w:t xml:space="preserve">3. The insight the product is built on</w:t>
      </w:r>
    </w:p>
    <w:p>
      <w:pPr>
        <w:spacing w:after="120" w:before="0" w:line="276"/>
      </w:pPr>
      <w:r>
        <w:rPr>
          <w:rFonts w:ascii="Calibri" w:cs="Calibri" w:eastAsia="Calibri" w:hAnsi="Calibri"/>
          <w:color w:val="1B2631"/>
          <w:sz w:val="21"/>
          <w:szCs w:val="21"/>
        </w:rPr>
        <w:t xml:space="preserve">Three observations stack into one mechanism. Together they are the reason this project is buildable in ten days and the reason it is defensible.</w:t>
      </w:r>
    </w:p>
    <w:p>
      <w:pPr>
        <w:pStyle w:val="Heading2"/>
        <w:spacing w:after="120" w:before="260"/>
      </w:pPr>
      <w:r>
        <w:rPr>
          <w:rFonts w:ascii="Calibri" w:cs="Calibri" w:eastAsia="Calibri" w:hAnsi="Calibri"/>
          <w:b/>
          <w:bCs/>
          <w:color w:val="1B2631"/>
          <w:sz w:val="24"/>
          <w:szCs w:val="24"/>
        </w:rPr>
        <w:t xml:space="preserve">3.1  Heat Action Plans are already written in exceedance language</w:t>
      </w:r>
    </w:p>
    <w:p>
      <w:pPr>
        <w:spacing w:after="120" w:before="0" w:line="276"/>
      </w:pPr>
      <w:r>
        <w:rPr>
          <w:rFonts w:ascii="Calibri" w:cs="Calibri" w:eastAsia="Calibri" w:hAnsi="Calibri"/>
          <w:color w:val="1B2631"/>
          <w:sz w:val="21"/>
          <w:szCs w:val="21"/>
        </w:rPr>
        <w:t xml:space="preserve">Almost every operative clause in a HAP has the same grammatical shape:</w:t>
      </w:r>
    </w:p>
    <w:p>
      <w:pPr>
        <w:shd w:fill="F4F6F7" w:val="clear"/>
        <w:spacing w:after="0" w:line="240"/>
        <w:ind w:left="240" w:right="240"/>
      </w:pPr>
      <w:r>
        <w:rPr>
          <w:rFonts w:ascii="Consolas" w:cs="Consolas" w:eastAsia="Consolas" w:hAnsi="Consolas"/>
          <w:color w:val="212F3D"/>
          <w:sz w:val="17"/>
          <w:szCs w:val="17"/>
        </w:rPr>
        <w:t xml:space="preserve">when [metric] stays [above|below] [threshold] for [duration],</w:t>
      </w:r>
    </w:p>
    <w:p>
      <w:pPr>
        <w:shd w:fill="F4F6F7" w:val="clear"/>
        <w:spacing w:after="0" w:line="240"/>
        <w:ind w:left="240" w:right="240"/>
      </w:pPr>
      <w:r>
        <w:rPr>
          <w:rFonts w:ascii="Consolas" w:cs="Consolas" w:eastAsia="Consolas" w:hAnsi="Consolas"/>
          <w:color w:val="212F3D"/>
          <w:sz w:val="17"/>
          <w:szCs w:val="17"/>
        </w:rPr>
        <w:t xml:space="preserve">[actor] shall [action] within [lead time].</w:t>
      </w:r>
    </w:p>
    <w:p>
      <w:pPr>
        <w:spacing w:after="100"/>
      </w:pPr>
      <w:r>
        <w:rPr>
          <w:sz w:val="2"/>
          <w:szCs w:val="2"/>
        </w:rPr>
        <w:t xml:space="preserve"/>
      </w:r>
    </w:p>
    <w:p>
      <w:pPr>
        <w:spacing w:after="120" w:before="0" w:line="276"/>
      </w:pPr>
      <w:r>
        <w:rPr>
          <w:rFonts w:ascii="Calibri" w:cs="Calibri" w:eastAsia="Calibri" w:hAnsi="Calibri"/>
          <w:color w:val="1B2631"/>
          <w:sz w:val="21"/>
          <w:szCs w:val="21"/>
        </w:rPr>
        <w:t xml:space="preserve">That is not prose that resembles a rule. That is a rule. And it maps one-to-one onto the FortyGuard heatmap endpoint’s analysis layers — threshold and direction are literal API parameters, and duration is what exceedance and persistence return. Policy written by lawyers is, structurally, already compilable. Nobody has compiled it.</w:t>
      </w:r>
    </w:p>
    <w:p>
      <w:pPr>
        <w:pStyle w:val="Heading2"/>
        <w:spacing w:after="120" w:before="260"/>
      </w:pPr>
      <w:r>
        <w:rPr>
          <w:rFonts w:ascii="Calibri" w:cs="Calibri" w:eastAsia="Calibri" w:hAnsi="Calibri"/>
          <w:b/>
          <w:bCs/>
          <w:color w:val="1B2631"/>
          <w:sz w:val="24"/>
          <w:szCs w:val="24"/>
        </w:rPr>
        <w:t xml:space="preserve">3.2  Below city scale, peak temperature tells you almost nothing — duration tells you everything</w:t>
      </w:r>
    </w:p>
    <w:p>
      <w:pPr>
        <w:spacing w:after="120" w:before="0" w:line="276"/>
      </w:pPr>
      <w:r>
        <w:rPr>
          <w:rFonts w:ascii="Calibri" w:cs="Calibri" w:eastAsia="Calibri" w:hAnsi="Calibri"/>
          <w:color w:val="1B2631"/>
          <w:sz w:val="21"/>
          <w:szCs w:val="21"/>
        </w:rPr>
        <w:t xml:space="preserve">FortyGuard’s own quickstart documents this directly. Measured across three area sizes, the daily-peak spread collapses as the area shrinks while the exceedance spread widens:</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2380"/>
        <w:gridCol w:w="2380"/>
      </w:tblGrid>
      <w:tr>
        <w:trPr>
          <w:tblHeader/>
        </w:trPr>
        <w:tc>
          <w:tcPr>
            <w:tcW w:type="dxa" w:w="2900"/>
            <w:shd w:fill="1B2631"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Area of interest</w:t>
            </w:r>
          </w:p>
        </w:tc>
        <w:tc>
          <w:tcPr>
            <w:tcW w:type="dxa" w:w="1700"/>
            <w:shd w:fill="1B2631"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Size</w:t>
            </w:r>
          </w:p>
        </w:tc>
        <w:tc>
          <w:tcPr>
            <w:tcW w:type="dxa" w:w="2380"/>
            <w:shd w:fill="1B2631"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Daily-peak spread</w:t>
            </w:r>
          </w:p>
        </w:tc>
        <w:tc>
          <w:tcPr>
            <w:tcW w:type="dxa" w:w="2380"/>
            <w:shd w:fill="1B2631"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Exceedance spread</w:t>
            </w:r>
          </w:p>
        </w:tc>
      </w:tr>
      <w:tr>
        <w:tc>
          <w:tcPr>
            <w:tcW w:type="dxa" w:w="29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Citywide</w:t>
            </w:r>
          </w:p>
        </w:tc>
        <w:tc>
          <w:tcPr>
            <w:tcW w:type="dxa" w:w="17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104 km²</w:t>
            </w:r>
          </w:p>
        </w:tc>
        <w:tc>
          <w:tcPr>
            <w:tcW w:type="dxa" w:w="238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5.85 °C</w:t>
            </w:r>
          </w:p>
        </w:tc>
        <w:tc>
          <w:tcPr>
            <w:tcW w:type="dxa" w:w="238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w:t>
            </w:r>
          </w:p>
        </w:tc>
      </w:tr>
      <w:tr>
        <w:tc>
          <w:tcPr>
            <w:tcW w:type="dxa" w:w="29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Portfolio hull + 400 m</w:t>
            </w:r>
          </w:p>
        </w:tc>
        <w:tc>
          <w:tcPr>
            <w:tcW w:type="dxa" w:w="17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14 km²</w:t>
            </w:r>
          </w:p>
        </w:tc>
        <w:tc>
          <w:tcPr>
            <w:tcW w:type="dxa" w:w="238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0.94 °C</w:t>
            </w:r>
          </w:p>
        </w:tc>
        <w:tc>
          <w:tcPr>
            <w:tcW w:type="dxa" w:w="238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6.5 hours</w:t>
            </w:r>
          </w:p>
        </w:tc>
      </w:tr>
      <w:tr>
        <w:tc>
          <w:tcPr>
            <w:tcW w:type="dxa" w:w="29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Single parcel + 500 m</w:t>
            </w:r>
          </w:p>
        </w:tc>
        <w:tc>
          <w:tcPr>
            <w:tcW w:type="dxa" w:w="17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1.2 km²</w:t>
            </w:r>
          </w:p>
        </w:tc>
        <w:tc>
          <w:tcPr>
            <w:tcW w:type="dxa" w:w="238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0.90 °C</w:t>
            </w:r>
          </w:p>
        </w:tc>
        <w:tc>
          <w:tcPr>
            <w:tcW w:type="dxa" w:w="238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15.2 hours</w:t>
            </w:r>
          </w:p>
        </w:tc>
      </w:tr>
    </w:tbl>
    <w:p>
      <w:pPr>
        <w:spacing w:after="120"/>
      </w:pPr>
      <w:r>
        <w:rPr>
          <w:sz w:val="2"/>
          <w:szCs w:val="2"/>
        </w:rPr>
        <w:t xml:space="preserve"/>
      </w:r>
    </w:p>
    <w:p>
      <w:pPr>
        <w:spacing w:after="120" w:before="0" w:line="276"/>
      </w:pPr>
      <w:r>
        <w:rPr>
          <w:rFonts w:ascii="Calibri" w:cs="Calibri" w:eastAsia="Calibri" w:hAnsi="Calibri"/>
          <w:color w:val="1B2631"/>
          <w:sz w:val="21"/>
          <w:szCs w:val="21"/>
        </w:rPr>
        <w:t xml:space="preserve">Read that bottom row carefully. Two sites in the same square kilometre are within one degree of each other at peak, and fifteen hours apart in how long they stay dangerous. Any system that ranks neighbourhoods by peak temperature is measuring noise.</w:t>
      </w:r>
    </w:p>
    <w:p>
      <w:pPr>
        <w:spacing w:after="120" w:before="0" w:line="276"/>
      </w:pPr>
      <w:r>
        <w:rPr>
          <w:rFonts w:ascii="Calibri" w:cs="Calibri" w:eastAsia="Calibri" w:hAnsi="Calibri"/>
          <w:b/>
          <w:bCs/>
          <w:color w:val="1B2631"/>
          <w:sz w:val="21"/>
          <w:szCs w:val="21"/>
        </w:rPr>
        <w:t xml:space="preserve">This is also the single strongest signal available about what the judges want. </w:t>
      </w:r>
      <w:r>
        <w:rPr>
          <w:rFonts w:ascii="Calibri" w:cs="Calibri" w:eastAsia="Calibri" w:hAnsi="Calibri"/>
          <w:color w:val="1B2631"/>
          <w:sz w:val="21"/>
          <w:szCs w:val="21"/>
        </w:rPr>
        <w:t xml:space="preserve">The organisers’ own opening technical session listed “choosing the right analysis layer: snapshot vs. exceedance vs. persistence” and “where the data will mislead you if you read it naively” as agenda items. They are telling participants in advance that most submissions will get this wrong. Most will — the visible field is overwhelmingly building snapshot heat maps.</w:t>
      </w:r>
    </w:p>
    <w:p>
      <w:pPr>
        <w:pStyle w:val="Heading2"/>
        <w:spacing w:after="120" w:before="260"/>
      </w:pPr>
      <w:r>
        <w:rPr>
          <w:rFonts w:ascii="Calibri" w:cs="Calibri" w:eastAsia="Calibri" w:hAnsi="Calibri"/>
          <w:b/>
          <w:bCs/>
          <w:color w:val="1B2631"/>
          <w:sz w:val="24"/>
          <w:szCs w:val="24"/>
        </w:rPr>
        <w:t xml:space="preserve">3.3  In a humid coastal city, the trigger metric itself is wrong</w:t>
      </w:r>
    </w:p>
    <w:p>
      <w:pPr>
        <w:spacing w:after="120" w:before="0" w:line="276"/>
      </w:pPr>
      <w:r>
        <w:rPr>
          <w:rFonts w:ascii="Calibri" w:cs="Calibri" w:eastAsia="Calibri" w:hAnsi="Calibri"/>
          <w:color w:val="1B2631"/>
          <w:sz w:val="21"/>
          <w:szCs w:val="21"/>
        </w:rPr>
        <w:t xml:space="preserve">Karachi’s dry-bulb peaks are lower than inland Sindh and Punjab. Its danger is humidity: wet-bulb and apparent temperature. A Heat Action Plan that triggers on dry-bulb temperature therefore systematically under-protects a coastal city, and will under-protect it most severely on exactly the humid, low-wind nights when heat becomes lethal.</w:t>
      </w:r>
    </w:p>
    <w:p>
      <w:pPr>
        <w:spacing w:after="120" w:before="0" w:line="276"/>
      </w:pPr>
      <w:r>
        <w:rPr>
          <w:rFonts w:ascii="Calibri" w:cs="Calibri" w:eastAsia="Calibri" w:hAnsi="Calibri"/>
          <w:color w:val="1B2631"/>
          <w:sz w:val="21"/>
          <w:szCs w:val="21"/>
        </w:rPr>
        <w:t xml:space="preserve">FortyGuard’s environmental-parameters endpoint exposes relative humidity, wet-bulb temperature, heat index, apparent temperature and solar irradiance. This gives us a second, independent axis of divergence to measure — and it is an argument that no team outside South Asia is likely to make.</w:t>
      </w:r>
    </w:p>
    <w:p>
      <w:pPr>
        <w:pStyle w:val="Heading1"/>
        <w:spacing w:after="160" w:before="360"/>
      </w:pPr>
      <w:r>
        <w:rPr>
          <w:rFonts w:ascii="Calibri" w:cs="Calibri" w:eastAsia="Calibri" w:hAnsi="Calibri"/>
          <w:b/>
          <w:bCs/>
          <w:color w:val="B03A2E"/>
          <w:sz w:val="30"/>
          <w:szCs w:val="30"/>
        </w:rPr>
        <w:t xml:space="preserve">4. The solution</w:t>
      </w:r>
    </w:p>
    <w:p>
      <w:pPr>
        <w:spacing w:after="120" w:before="0" w:line="276"/>
      </w:pPr>
      <w:r>
        <w:rPr>
          <w:rFonts w:ascii="Calibri" w:cs="Calibri" w:eastAsia="Calibri" w:hAnsi="Calibri"/>
          <w:b/>
          <w:bCs/>
          <w:color w:val="1B2631"/>
          <w:sz w:val="21"/>
          <w:szCs w:val="21"/>
        </w:rPr>
        <w:t xml:space="preserve">TRIGGER is a compiler and an evaluator. </w:t>
      </w:r>
      <w:r>
        <w:rPr>
          <w:rFonts w:ascii="Calibri" w:cs="Calibri" w:eastAsia="Calibri" w:hAnsi="Calibri"/>
          <w:color w:val="1B2631"/>
          <w:sz w:val="21"/>
          <w:szCs w:val="21"/>
        </w:rPr>
        <w:t xml:space="preserve">It takes a published Heat Action Plan as input and produces three things: a machine-readable rule set, a per-neighbourhood evaluation of every rule against hyperlocal data, and a quantified measurement of the gap between the two ways of sensing.</w:t>
      </w:r>
    </w:p>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3060"/>
        <w:gridCol w:w="2300"/>
      </w:tblGrid>
      <w:tr>
        <w:trPr>
          <w:tblHeader/>
        </w:trPr>
        <w:tc>
          <w:tcPr>
            <w:tcW w:type="dxa" w:w="1900"/>
            <w:shd w:fill="1B2631"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Stage</w:t>
            </w:r>
          </w:p>
        </w:tc>
        <w:tc>
          <w:tcPr>
            <w:tcW w:type="dxa" w:w="2100"/>
            <w:shd w:fill="1B2631"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Input</w:t>
            </w:r>
          </w:p>
        </w:tc>
        <w:tc>
          <w:tcPr>
            <w:tcW w:type="dxa" w:w="3060"/>
            <w:shd w:fill="1B2631"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Output</w:t>
            </w:r>
          </w:p>
        </w:tc>
        <w:tc>
          <w:tcPr>
            <w:tcW w:type="dxa" w:w="2300"/>
            <w:shd w:fill="1B2631"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Who does it</w:t>
            </w:r>
          </w:p>
        </w:tc>
      </w:tr>
      <w:tr>
        <w:tc>
          <w:tcPr>
            <w:tcW w:type="dxa" w:w="19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A — Clause Compiler</w:t>
            </w:r>
          </w:p>
        </w:tc>
        <w:tc>
          <w:tcPr>
            <w:tcW w:type="dxa" w:w="21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HAP document (PDF)</w:t>
            </w:r>
          </w:p>
        </w:tc>
        <w:tc>
          <w:tcPr>
            <w:tcW w:type="dxa" w:w="306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Structured rule objects with thresholds, durations, actors, actions, page-anchored provenance and extraction confidence</w:t>
            </w:r>
          </w:p>
        </w:tc>
        <w:tc>
          <w:tcPr>
            <w:tcW w:type="dxa" w:w="23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LLM extraction, human-reviewed against a hand-built golden set</w:t>
            </w:r>
          </w:p>
        </w:tc>
      </w:tr>
      <w:tr>
        <w:tc>
          <w:tcPr>
            <w:tcW w:type="dxa" w:w="19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B — Thermal Evaluator</w:t>
            </w:r>
          </w:p>
        </w:tc>
        <w:tc>
          <w:tcPr>
            <w:tcW w:type="dxa" w:w="21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Rule objects + area of interest + study window</w:t>
            </w:r>
          </w:p>
        </w:tc>
        <w:tc>
          <w:tcPr>
            <w:tcW w:type="dxa" w:w="306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Per clause × per zone × per hour: FIRED / NOT FIRED, with margin to threshold</w:t>
            </w:r>
          </w:p>
        </w:tc>
        <w:tc>
          <w:tcPr>
            <w:tcW w:type="dxa" w:w="23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Deterministic code over FortyGuard exceedance, persistence, time_of_measure and env_params</w:t>
            </w:r>
          </w:p>
        </w:tc>
      </w:tr>
      <w:tr>
        <w:tc>
          <w:tcPr>
            <w:tcW w:type="dxa" w:w="19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C — Divergence Engine</w:t>
            </w:r>
          </w:p>
        </w:tc>
        <w:tc>
          <w:tcPr>
            <w:tcW w:type="dxa" w:w="21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Hyperlocal evaluation + citywide baseline</w:t>
            </w:r>
          </w:p>
        </w:tc>
        <w:tc>
          <w:tcPr>
            <w:tcW w:type="dxa" w:w="306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Lead time gained, silent zones, false-calm clauses; plus counterfactual re-run</w:t>
            </w:r>
          </w:p>
        </w:tc>
        <w:tc>
          <w:tcPr>
            <w:tcW w:type="dxa" w:w="23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Deterministic code</w:t>
            </w:r>
          </w:p>
        </w:tc>
      </w:tr>
      <w:tr>
        <w:tc>
          <w:tcPr>
            <w:tcW w:type="dxa" w:w="19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D — Action Brief</w:t>
            </w:r>
          </w:p>
        </w:tc>
        <w:tc>
          <w:tcPr>
            <w:tcW w:type="dxa" w:w="21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Verified structured results</w:t>
            </w:r>
          </w:p>
        </w:tc>
        <w:tc>
          <w:tcPr>
            <w:tcW w:type="dxa" w:w="306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Ranked actions with clause citation, zone, window, named owner and evidence link</w:t>
            </w:r>
          </w:p>
        </w:tc>
        <w:tc>
          <w:tcPr>
            <w:tcW w:type="dxa" w:w="23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LLM narration over already-computed facts only</w:t>
            </w:r>
          </w:p>
        </w:tc>
      </w:tr>
    </w:tbl>
    <w:p>
      <w:pPr>
        <w:spacing w:after="120"/>
      </w:pPr>
      <w:r>
        <w:rPr>
          <w:sz w:val="2"/>
          <w:szCs w:val="2"/>
        </w:rPr>
        <w:t xml:space="preserve"/>
      </w:r>
    </w:p>
    <w:p>
      <w:pPr>
        <w:pStyle w:val="Heading2"/>
        <w:spacing w:after="120" w:before="260"/>
      </w:pPr>
      <w:r>
        <w:rPr>
          <w:rFonts w:ascii="Calibri" w:cs="Calibri" w:eastAsia="Calibri" w:hAnsi="Calibri"/>
          <w:b/>
          <w:bCs/>
          <w:color w:val="1B2631"/>
          <w:sz w:val="24"/>
          <w:szCs w:val="24"/>
        </w:rPr>
        <w:t xml:space="preserve">4.1  The clause schema</w:t>
      </w:r>
    </w:p>
    <w:p>
      <w:pPr>
        <w:spacing w:after="120" w:before="0" w:line="276"/>
      </w:pPr>
      <w:r>
        <w:rPr>
          <w:rFonts w:ascii="Calibri" w:cs="Calibri" w:eastAsia="Calibri" w:hAnsi="Calibri"/>
          <w:color w:val="1B2631"/>
          <w:sz w:val="21"/>
          <w:szCs w:val="21"/>
        </w:rPr>
        <w:t xml:space="preserve">This is the core artefact and should be locked on day 2 before anything else is built. Every field carries provenance so that a judge — or a city officer — can trace any recommendation back to a page and a verbatim sentence.</w:t>
      </w:r>
    </w:p>
    <w:p>
      <w:pPr>
        <w:spacing w:after="60"/>
      </w:pPr>
      <w:r>
        <w:rPr>
          <w:sz w:val="2"/>
          <w:szCs w:val="2"/>
        </w:rPr>
        <w:t xml:space="preserve"/>
      </w:r>
    </w:p>
    <w:p>
      <w:pPr>
        <w:shd w:fill="F4F6F7" w:val="clear"/>
        <w:spacing w:after="0" w:line="240"/>
        <w:ind w:left="240" w:right="240"/>
      </w:pPr>
      <w:r>
        <w:rPr>
          <w:rFonts w:ascii="Consolas" w:cs="Consolas" w:eastAsia="Consolas" w:hAnsi="Consolas"/>
          <w:color w:val="212F3D"/>
          <w:sz w:val="17"/>
          <w:szCs w:val="17"/>
        </w:rPr>
        <w:t xml:space="preserve">{</w:t>
      </w:r>
    </w:p>
    <w:p>
      <w:pPr>
        <w:shd w:fill="F4F6F7" w:val="clear"/>
        <w:spacing w:after="0" w:line="240"/>
        <w:ind w:left="240" w:right="240"/>
      </w:pPr>
      <w:r>
        <w:rPr>
          <w:rFonts w:ascii="Consolas" w:cs="Consolas" w:eastAsia="Consolas" w:hAnsi="Consolas"/>
          <w:color w:val="212F3D"/>
          <w:sz w:val="17"/>
          <w:szCs w:val="17"/>
        </w:rPr>
        <w:t xml:space="preserve">  "clause_id":        "SIN-HAP-4.2.1",</w:t>
      </w:r>
    </w:p>
    <w:p>
      <w:pPr>
        <w:shd w:fill="F4F6F7" w:val="clear"/>
        <w:spacing w:after="0" w:line="240"/>
        <w:ind w:left="240" w:right="240"/>
      </w:pPr>
      <w:r>
        <w:rPr>
          <w:rFonts w:ascii="Consolas" w:cs="Consolas" w:eastAsia="Consolas" w:hAnsi="Consolas"/>
          <w:color w:val="212F3D"/>
          <w:sz w:val="17"/>
          <w:szCs w:val="17"/>
        </w:rPr>
        <w:t xml:space="preserve">  "source_text":      "… where apparent temperature remains above 40°C",</w:t>
      </w:r>
    </w:p>
    <w:p>
      <w:pPr>
        <w:shd w:fill="F4F6F7" w:val="clear"/>
        <w:spacing w:after="0" w:line="240"/>
        <w:ind w:left="240" w:right="240"/>
      </w:pPr>
      <w:r>
        <w:rPr>
          <w:rFonts w:ascii="Consolas" w:cs="Consolas" w:eastAsia="Consolas" w:hAnsi="Consolas"/>
          <w:color w:val="212F3D"/>
          <w:sz w:val="17"/>
          <w:szCs w:val="17"/>
        </w:rPr>
        <w:t xml:space="preserve">                      "for two or more consecutive hours …",</w:t>
      </w:r>
    </w:p>
    <w:p>
      <w:pPr>
        <w:shd w:fill="F4F6F7" w:val="clear"/>
        <w:spacing w:after="0" w:line="240"/>
        <w:ind w:left="240" w:right="240"/>
      </w:pPr>
      <w:r>
        <w:rPr>
          <w:rFonts w:ascii="Consolas" w:cs="Consolas" w:eastAsia="Consolas" w:hAnsi="Consolas"/>
          <w:color w:val="212F3D"/>
          <w:sz w:val="17"/>
          <w:szCs w:val="17"/>
        </w:rPr>
        <w:t xml:space="preserve">  "source_page":      24,</w:t>
      </w:r>
    </w:p>
    <w:p>
      <w:pPr>
        <w:shd w:fill="F4F6F7" w:val="clear"/>
        <w:spacing w:after="0" w:line="240"/>
        <w:ind w:left="240" w:right="240"/>
      </w:pPr>
      <w:r>
        <w:rPr>
          <w:rFonts w:ascii="Consolas" w:cs="Consolas" w:eastAsia="Consolas" w:hAnsi="Consolas"/>
          <w:color w:val="212F3D"/>
          <w:sz w:val="17"/>
          <w:szCs w:val="17"/>
        </w:rPr>
        <w:t xml:space="preserve">  "metric":           "apparent_temperature",</w:t>
      </w:r>
    </w:p>
    <w:p>
      <w:pPr>
        <w:shd w:fill="F4F6F7" w:val="clear"/>
        <w:spacing w:after="0" w:line="240"/>
        <w:ind w:left="240" w:right="240"/>
      </w:pPr>
      <w:r>
        <w:rPr>
          <w:rFonts w:ascii="Consolas" w:cs="Consolas" w:eastAsia="Consolas" w:hAnsi="Consolas"/>
          <w:color w:val="212F3D"/>
          <w:sz w:val="17"/>
          <w:szCs w:val="17"/>
        </w:rPr>
        <w:t xml:space="preserve">  "operator":         "above",</w:t>
      </w:r>
    </w:p>
    <w:p>
      <w:pPr>
        <w:shd w:fill="F4F6F7" w:val="clear"/>
        <w:spacing w:after="0" w:line="240"/>
        <w:ind w:left="240" w:right="240"/>
      </w:pPr>
      <w:r>
        <w:rPr>
          <w:rFonts w:ascii="Consolas" w:cs="Consolas" w:eastAsia="Consolas" w:hAnsi="Consolas"/>
          <w:color w:val="212F3D"/>
          <w:sz w:val="17"/>
          <w:szCs w:val="17"/>
        </w:rPr>
        <w:t xml:space="preserve">  "threshold_c":      40.0,</w:t>
      </w:r>
    </w:p>
    <w:p>
      <w:pPr>
        <w:shd w:fill="F4F6F7" w:val="clear"/>
        <w:spacing w:after="0" w:line="240"/>
        <w:ind w:left="240" w:right="240"/>
      </w:pPr>
      <w:r>
        <w:rPr>
          <w:rFonts w:ascii="Consolas" w:cs="Consolas" w:eastAsia="Consolas" w:hAnsi="Consolas"/>
          <w:color w:val="212F3D"/>
          <w:sz w:val="17"/>
          <w:szCs w:val="17"/>
        </w:rPr>
        <w:t xml:space="preserve">  "duration_hours":   2,</w:t>
      </w:r>
    </w:p>
    <w:p>
      <w:pPr>
        <w:shd w:fill="F4F6F7" w:val="clear"/>
        <w:spacing w:after="0" w:line="240"/>
        <w:ind w:left="240" w:right="240"/>
      </w:pPr>
      <w:r>
        <w:rPr>
          <w:rFonts w:ascii="Consolas" w:cs="Consolas" w:eastAsia="Consolas" w:hAnsi="Consolas"/>
          <w:color w:val="212F3D"/>
          <w:sz w:val="17"/>
          <w:szCs w:val="17"/>
        </w:rPr>
        <w:t xml:space="preserve">  "scope":            "district",</w:t>
      </w:r>
    </w:p>
    <w:p>
      <w:pPr>
        <w:shd w:fill="F4F6F7" w:val="clear"/>
        <w:spacing w:after="0" w:line="240"/>
        <w:ind w:left="240" w:right="240"/>
      </w:pPr>
      <w:r>
        <w:rPr>
          <w:rFonts w:ascii="Consolas" w:cs="Consolas" w:eastAsia="Consolas" w:hAnsi="Consolas"/>
          <w:color w:val="212F3D"/>
          <w:sz w:val="17"/>
          <w:szCs w:val="17"/>
        </w:rPr>
        <w:t xml:space="preserve">  "actor":            "District Health Officer",</w:t>
      </w:r>
    </w:p>
    <w:p>
      <w:pPr>
        <w:shd w:fill="F4F6F7" w:val="clear"/>
        <w:spacing w:after="0" w:line="240"/>
        <w:ind w:left="240" w:right="240"/>
      </w:pPr>
      <w:r>
        <w:rPr>
          <w:rFonts w:ascii="Consolas" w:cs="Consolas" w:eastAsia="Consolas" w:hAnsi="Consolas"/>
          <w:color w:val="212F3D"/>
          <w:sz w:val="17"/>
          <w:szCs w:val="17"/>
        </w:rPr>
        <w:t xml:space="preserve">  "action":           "Open designated cooling centres; deploy ORS points",</w:t>
      </w:r>
    </w:p>
    <w:p>
      <w:pPr>
        <w:shd w:fill="F4F6F7" w:val="clear"/>
        <w:spacing w:after="0" w:line="240"/>
        <w:ind w:left="240" w:right="240"/>
      </w:pPr>
      <w:r>
        <w:rPr>
          <w:rFonts w:ascii="Consolas" w:cs="Consolas" w:eastAsia="Consolas" w:hAnsi="Consolas"/>
          <w:color w:val="212F3D"/>
          <w:sz w:val="17"/>
          <w:szCs w:val="17"/>
        </w:rPr>
        <w:t xml:space="preserve">  "lead_time_req_h":  6,</w:t>
      </w:r>
    </w:p>
    <w:p>
      <w:pPr>
        <w:shd w:fill="F4F6F7" w:val="clear"/>
        <w:spacing w:after="0" w:line="240"/>
        <w:ind w:left="240" w:right="240"/>
      </w:pPr>
      <w:r>
        <w:rPr>
          <w:rFonts w:ascii="Consolas" w:cs="Consolas" w:eastAsia="Consolas" w:hAnsi="Consolas"/>
          <w:color w:val="212F3D"/>
          <w:sz w:val="17"/>
          <w:szCs w:val="17"/>
        </w:rPr>
        <w:t xml:space="preserve">  "extraction_conf":  0.86,</w:t>
      </w:r>
    </w:p>
    <w:p>
      <w:pPr>
        <w:shd w:fill="F4F6F7" w:val="clear"/>
        <w:spacing w:after="0" w:line="240"/>
        <w:ind w:left="240" w:right="240"/>
      </w:pPr>
      <w:r>
        <w:rPr>
          <w:rFonts w:ascii="Consolas" w:cs="Consolas" w:eastAsia="Consolas" w:hAnsi="Consolas"/>
          <w:color w:val="212F3D"/>
          <w:sz w:val="17"/>
          <w:szCs w:val="17"/>
        </w:rPr>
        <w:t xml:space="preserve">  "extraction_note":  "duration inferred from 'sustained'; flagged for review"</w:t>
      </w:r>
    </w:p>
    <w:p>
      <w:pPr>
        <w:shd w:fill="F4F6F7" w:val="clear"/>
        <w:spacing w:after="0" w:line="240"/>
        <w:ind w:left="240" w:right="240"/>
      </w:pPr>
      <w:r>
        <w:rPr>
          <w:rFonts w:ascii="Consolas" w:cs="Consolas" w:eastAsia="Consolas" w:hAnsi="Consolas"/>
          <w:color w:val="212F3D"/>
          <w:sz w:val="17"/>
          <w:szCs w:val="17"/>
        </w:rPr>
        <w:t xml:space="preserve">}</w:t>
      </w:r>
    </w:p>
    <w:p>
      <w:pPr>
        <w:spacing w:after="140"/>
      </w:pPr>
      <w:r>
        <w:rPr>
          <w:sz w:val="2"/>
          <w:szCs w:val="2"/>
        </w:rPr>
        <w:t xml:space="preserve"/>
      </w:r>
    </w:p>
    <w:p>
      <w:pPr>
        <w:pStyle w:val="Heading2"/>
        <w:spacing w:after="120" w:before="260"/>
      </w:pPr>
      <w:r>
        <w:rPr>
          <w:rFonts w:ascii="Calibri" w:cs="Calibri" w:eastAsia="Calibri" w:hAnsi="Calibri"/>
          <w:b/>
          <w:bCs/>
          <w:color w:val="1B2631"/>
          <w:sz w:val="24"/>
          <w:szCs w:val="24"/>
        </w:rPr>
        <w:t xml:space="preserve">4.2  How we defeat the “the LLM just made that up” objection</w:t>
      </w:r>
    </w:p>
    <w:p>
      <w:pPr>
        <w:spacing w:after="120" w:before="0" w:line="276"/>
      </w:pPr>
      <w:r>
        <w:rPr>
          <w:rFonts w:ascii="Calibri" w:cs="Calibri" w:eastAsia="Calibri" w:hAnsi="Calibri"/>
          <w:color w:val="1B2631"/>
          <w:sz w:val="21"/>
          <w:szCs w:val="21"/>
        </w:rPr>
        <w:t xml:space="preserve">This is the objection that will be raised against every agentic submission in this hackathon, and most will have no answer. Ours is architectural, and it should be stated explicitly in the README and the video.</w:t>
      </w:r>
    </w:p>
    <w:p>
      <w:pPr>
        <w:pStyle w:val="ListParagraph"/>
        <w:numPr>
          <w:ilvl w:val="0"/>
          <w:numId w:val="2"/>
        </w:numPr>
        <w:spacing w:after="80" w:line="276"/>
      </w:pPr>
      <w:r>
        <w:rPr>
          <w:rFonts w:ascii="Calibri" w:cs="Calibri" w:eastAsia="Calibri" w:hAnsi="Calibri"/>
          <w:color w:val="1B2631"/>
          <w:sz w:val="21"/>
          <w:szCs w:val="21"/>
        </w:rPr>
        <w:t xml:space="preserve">The language model does exactly two jobs: extracting structure from the HAP with a mandatory verbatim quote and page anchor for every field, and narrating results that have already been computed.</w:t>
      </w:r>
    </w:p>
    <w:p>
      <w:pPr>
        <w:pStyle w:val="ListParagraph"/>
        <w:numPr>
          <w:ilvl w:val="0"/>
          <w:numId w:val="2"/>
        </w:numPr>
        <w:spacing w:after="80" w:line="276"/>
      </w:pPr>
      <w:r>
        <w:rPr>
          <w:rFonts w:ascii="Calibri" w:cs="Calibri" w:eastAsia="Calibri" w:hAnsi="Calibri"/>
          <w:color w:val="1B2631"/>
          <w:sz w:val="21"/>
          <w:szCs w:val="21"/>
        </w:rPr>
        <w:t xml:space="preserve">It makes no decisions. Every FIRED / NOT FIRED determination, every threshold comparison, every ranking is deterministic code over API responses.</w:t>
      </w:r>
    </w:p>
    <w:p>
      <w:pPr>
        <w:pStyle w:val="ListParagraph"/>
        <w:numPr>
          <w:ilvl w:val="0"/>
          <w:numId w:val="2"/>
        </w:numPr>
        <w:spacing w:after="80" w:line="276"/>
      </w:pPr>
      <w:r>
        <w:rPr>
          <w:rFonts w:ascii="Calibri" w:cs="Calibri" w:eastAsia="Calibri" w:hAnsi="Calibri"/>
          <w:color w:val="1B2631"/>
          <w:sz w:val="21"/>
          <w:szCs w:val="21"/>
        </w:rPr>
        <w:t xml:space="preserve">Extraction is measured, not asserted. We hand-compile a golden set of clauses on day 2 and report precision and recall of the automatic compiler against it.</w:t>
      </w:r>
    </w:p>
    <w:p>
      <w:pPr>
        <w:pStyle w:val="ListParagraph"/>
        <w:numPr>
          <w:ilvl w:val="0"/>
          <w:numId w:val="2"/>
        </w:numPr>
        <w:spacing w:after="80" w:line="276"/>
      </w:pPr>
      <w:r>
        <w:rPr>
          <w:rFonts w:ascii="Calibri" w:cs="Calibri" w:eastAsia="Calibri" w:hAnsi="Calibri"/>
          <w:color w:val="1B2631"/>
          <w:sz w:val="21"/>
          <w:szCs w:val="21"/>
        </w:rPr>
        <w:t xml:space="preserve">The review interface lets a human accept, edit or reject any compiled clause before it is evaluated — which is also how a real city would deploy this.</w:t>
      </w:r>
    </w:p>
    <w:p>
      <w:pPr>
        <w:spacing w:after="120" w:before="0" w:line="276"/>
      </w:pPr>
      <w:r>
        <w:rPr>
          <w:rFonts w:ascii="Calibri" w:cs="Calibri" w:eastAsia="Calibri" w:hAnsi="Calibri"/>
          <w:i/>
          <w:iCs/>
          <w:color w:val="5D6D7E"/>
          <w:sz w:val="21"/>
          <w:szCs w:val="21"/>
        </w:rPr>
        <w:t xml:space="preserve">A reported extraction F1 score is a research artefact. Almost no hackathon submission will have one, and to an engineer judge it reads as a different tier of seriousness.</w:t>
      </w:r>
    </w:p>
    <w:p>
      <w:pPr>
        <w:pStyle w:val="Heading1"/>
        <w:spacing w:after="160" w:before="360"/>
      </w:pPr>
      <w:r>
        <w:rPr>
          <w:rFonts w:ascii="Calibri" w:cs="Calibri" w:eastAsia="Calibri" w:hAnsi="Calibri"/>
          <w:b/>
          <w:bCs/>
          <w:color w:val="B03A2E"/>
          <w:sz w:val="30"/>
          <w:szCs w:val="30"/>
        </w:rPr>
        <w:t xml:space="preserve">5. The headline metric: Trigger Divergence</w:t>
      </w:r>
    </w:p>
    <w:p>
      <w:pPr>
        <w:spacing w:after="120" w:before="0" w:line="276"/>
      </w:pPr>
      <w:r>
        <w:rPr>
          <w:rFonts w:ascii="Calibri" w:cs="Calibri" w:eastAsia="Calibri" w:hAnsi="Calibri"/>
          <w:color w:val="1B2631"/>
          <w:sz w:val="21"/>
          <w:szCs w:val="21"/>
        </w:rPr>
        <w:t xml:space="preserve">One number decides 40% of the score. This is it. We compare two ways of executing the same legal document over the same historical heat event, and report three sub-metrics.</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60"/>
        <w:gridCol w:w="3400"/>
      </w:tblGrid>
      <w:tr>
        <w:trPr>
          <w:tblHeader/>
        </w:trPr>
        <w:tc>
          <w:tcPr>
            <w:tcW w:type="dxa" w:w="2000"/>
            <w:shd w:fill="1B2631"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Metric</w:t>
            </w:r>
          </w:p>
        </w:tc>
        <w:tc>
          <w:tcPr>
            <w:tcW w:type="dxa" w:w="3960"/>
            <w:shd w:fill="1B2631"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Definition</w:t>
            </w:r>
          </w:p>
        </w:tc>
        <w:tc>
          <w:tcPr>
            <w:tcW w:type="dxa" w:w="3400"/>
            <w:shd w:fill="1B2631"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Why a judge cares</w:t>
            </w:r>
          </w:p>
        </w:tc>
      </w:tr>
      <w:tr>
        <w:tc>
          <w:tcPr>
            <w:tcW w:type="dxa" w:w="20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Lead time gained</w:t>
            </w:r>
          </w:p>
        </w:tc>
        <w:tc>
          <w:tcPr>
            <w:tcW w:type="dxa" w:w="396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Median hours between when a clause’s condition was first met in a given zone and when the citywide trigger actually fired</w:t>
            </w:r>
          </w:p>
        </w:tc>
        <w:tc>
          <w:tcPr>
            <w:tcW w:type="dxa" w:w="34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Hours of warning are the entire value of a heat action plan. This is the protection the current sensor discards.</w:t>
            </w:r>
          </w:p>
        </w:tc>
      </w:tr>
      <w:tr>
        <w:tc>
          <w:tcPr>
            <w:tcW w:type="dxa" w:w="20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Silent zones</w:t>
            </w:r>
          </w:p>
        </w:tc>
        <w:tc>
          <w:tcPr>
            <w:tcW w:type="dxa" w:w="396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Count of zones — and share of population in them — where the clause condition was met but the citywide trigger never fired at all</w:t>
            </w:r>
          </w:p>
        </w:tc>
        <w:tc>
          <w:tcPr>
            <w:tcW w:type="dxa" w:w="34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These are people the plan legally covers and operationally misses. This is the most quotable finding.</w:t>
            </w:r>
          </w:p>
        </w:tc>
      </w:tr>
      <w:tr>
        <w:tc>
          <w:tcPr>
            <w:tcW w:type="dxa" w:w="20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False-calm clauses</w:t>
            </w:r>
          </w:p>
        </w:tc>
        <w:tc>
          <w:tcPr>
            <w:tcW w:type="dxa" w:w="396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Count of HAP clauses that never activated during the study window under citywide sensing but would have activated N times under hyperlocal sensing</w:t>
            </w:r>
          </w:p>
        </w:tc>
        <w:tc>
          <w:tcPr>
            <w:tcW w:type="dxa" w:w="34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A clause that never fires is a policy that exists only on paper. Naming those clauses is a concrete finding a city can act on.</w:t>
            </w:r>
          </w:p>
        </w:tc>
      </w:tr>
    </w:tbl>
    <w:p>
      <w:pPr>
        <w:spacing w:after="120"/>
      </w:pPr>
      <w:r>
        <w:rPr>
          <w:sz w:val="2"/>
          <w:szCs w:val="2"/>
        </w:rPr>
        <w:t xml:space="preserve"/>
      </w:r>
    </w:p>
    <w:p>
      <w:pPr>
        <w:pBdr>
          <w:top w:val="none"/>
          <w:bottom w:val="none"/>
          <w:left w:val="single" w:color="B03A2E" w:sz="18" w:space="8"/>
          <w:right w:val="none"/>
        </w:pBdr>
        <w:shd w:fill="FDEDEC" w:val="clear"/>
        <w:spacing w:after="200" w:before="160" w:line="276"/>
        <w:ind w:left="200" w:right="200"/>
      </w:pPr>
      <w:r>
        <w:rPr>
          <w:rFonts w:ascii="Calibri" w:cs="Calibri" w:eastAsia="Calibri" w:hAnsi="Calibri"/>
          <w:b/>
          <w:bCs/>
          <w:color w:val="922B21"/>
          <w:sz w:val="21"/>
          <w:szCs w:val="21"/>
        </w:rPr>
        <w:t xml:space="preserve">Target headline for the video: “We compiled Karachi’s Heat Action Plan and re-ran it on 2-metre data across [event dates]. N zones met the legal trigger condition H hours before the city declared it. M zones met it and the city never declared it. K clauses in the plan never fired at all.”</w:t>
      </w:r>
    </w:p>
    <w:p>
      <w:pPr>
        <w:spacing w:after="120" w:before="0" w:line="276"/>
      </w:pPr>
      <w:r>
        <w:rPr>
          <w:rFonts w:ascii="Calibri" w:cs="Calibri" w:eastAsia="Calibri" w:hAnsi="Calibri"/>
          <w:color w:val="1B2631"/>
          <w:sz w:val="21"/>
          <w:szCs w:val="21"/>
        </w:rPr>
        <w:t xml:space="preserve">Note on honesty: our citywide baseline is a proxy for station-based sensing, computed as the area-weighted mean over the full city AOI. It is not a real station feed. This must be labelled as a proxy everywhere it appears — in the UI, the README and the video. Overclaiming here is the fastest way to lose an engineer judge who spots it, and the finding survives the caveat intact.</w:t>
      </w:r>
    </w:p>
    <w:p>
      <w:pPr>
        <w:pStyle w:val="Heading1"/>
        <w:spacing w:after="160" w:before="360"/>
      </w:pPr>
      <w:r>
        <w:rPr>
          <w:rFonts w:ascii="Calibri" w:cs="Calibri" w:eastAsia="Calibri" w:hAnsi="Calibri"/>
          <w:b/>
          <w:bCs/>
          <w:color w:val="B03A2E"/>
          <w:sz w:val="30"/>
          <w:szCs w:val="30"/>
        </w:rPr>
        <w:t xml:space="preserve">6. Architecture</w:t>
      </w:r>
    </w:p>
    <w:p>
      <w:pPr>
        <w:spacing w:after="120" w:before="0" w:line="276"/>
      </w:pPr>
      <w:r>
        <w:rPr>
          <w:rFonts w:ascii="Calibri" w:cs="Calibri" w:eastAsia="Calibri" w:hAnsi="Calibri"/>
          <w:color w:val="1B2631"/>
          <w:sz w:val="21"/>
          <w:szCs w:val="21"/>
        </w:rPr>
        <w:t xml:space="preserve">Three stages must work. A fourth is narration. The five-agent framing from v1 can remain in the written architecture as design intent, but only three components need to run for the demo to succeed.</w:t>
      </w:r>
    </w:p>
    <w:p>
      <w:pPr>
        <w:spacing w:after="60"/>
      </w:pPr>
      <w:r>
        <w:rPr>
          <w:sz w:val="2"/>
          <w:szCs w:val="2"/>
        </w:rPr>
        <w:t xml:space="preserve"/>
      </w:r>
    </w:p>
    <w:p>
      <w:pPr>
        <w:shd w:fill="F4F6F7" w:val="clear"/>
        <w:spacing w:after="0" w:line="240"/>
        <w:ind w:left="240" w:right="240"/>
      </w:pPr>
      <w:r>
        <w:rPr>
          <w:rFonts w:ascii="Consolas" w:cs="Consolas" w:eastAsia="Consolas" w:hAnsi="Consolas"/>
          <w:color w:val="212F3D"/>
          <w:sz w:val="17"/>
          <w:szCs w:val="17"/>
        </w:rPr>
        <w:t xml:space="preserve">HAP PDF</w:t>
      </w:r>
    </w:p>
    <w:p>
      <w:pPr>
        <w:shd w:fill="F4F6F7" w:val="clear"/>
        <w:spacing w:after="0" w:line="240"/>
        <w:ind w:left="240" w:right="240"/>
      </w:pPr>
      <w:r>
        <w:rPr>
          <w:rFonts w:ascii="Consolas" w:cs="Consolas" w:eastAsia="Consolas" w:hAnsi="Consolas"/>
          <w:color w:val="212F3D"/>
          <w:sz w:val="17"/>
          <w:szCs w:val="17"/>
        </w:rPr>
        <w:t xml:space="preserve">   |</w:t>
      </w:r>
    </w:p>
    <w:p>
      <w:pPr>
        <w:shd w:fill="F4F6F7" w:val="clear"/>
        <w:spacing w:after="0" w:line="240"/>
        <w:ind w:left="240" w:right="240"/>
      </w:pPr>
      <w:r>
        <w:rPr>
          <w:rFonts w:ascii="Consolas" w:cs="Consolas" w:eastAsia="Consolas" w:hAnsi="Consolas"/>
          <w:color w:val="212F3D"/>
          <w:sz w:val="17"/>
          <w:szCs w:val="17"/>
        </w:rPr>
        <w:t xml:space="preserve">   v</w:t>
      </w:r>
    </w:p>
    <w:p>
      <w:pPr>
        <w:shd w:fill="F4F6F7" w:val="clear"/>
        <w:spacing w:after="0" w:line="240"/>
        <w:ind w:left="240" w:right="240"/>
      </w:pPr>
      <w:r>
        <w:rPr>
          <w:rFonts w:ascii="Consolas" w:cs="Consolas" w:eastAsia="Consolas" w:hAnsi="Consolas"/>
          <w:color w:val="212F3D"/>
          <w:sz w:val="17"/>
          <w:szCs w:val="17"/>
        </w:rPr>
        <w:t xml:space="preserve">[A] CLAUSE COMPILER ------&gt; rule objects (JSON) --&gt; human review UI</w:t>
      </w:r>
    </w:p>
    <w:p>
      <w:pPr>
        <w:shd w:fill="F4F6F7" w:val="clear"/>
        <w:spacing w:after="0" w:line="240"/>
        <w:ind w:left="240" w:right="240"/>
      </w:pPr>
      <w:r>
        <w:rPr>
          <w:rFonts w:ascii="Consolas" w:cs="Consolas" w:eastAsia="Consolas" w:hAnsi="Consolas"/>
          <w:color w:val="212F3D"/>
          <w:sz w:val="17"/>
          <w:szCs w:val="17"/>
        </w:rPr>
        <w:t xml:space="preserve">   |                                                     |</w:t>
      </w:r>
    </w:p>
    <w:p>
      <w:pPr>
        <w:shd w:fill="F4F6F7" w:val="clear"/>
        <w:spacing w:after="0" w:line="240"/>
        <w:ind w:left="240" w:right="240"/>
      </w:pPr>
      <w:r>
        <w:rPr>
          <w:rFonts w:ascii="Consolas" w:cs="Consolas" w:eastAsia="Consolas" w:hAnsi="Consolas"/>
          <w:color w:val="212F3D"/>
          <w:sz w:val="17"/>
          <w:szCs w:val="17"/>
        </w:rPr>
        <w:t xml:space="preserve">   |                        &lt;---- accepted rules --------+</w:t>
      </w:r>
    </w:p>
    <w:p>
      <w:pPr>
        <w:shd w:fill="F4F6F7" w:val="clear"/>
        <w:spacing w:after="0" w:line="240"/>
        <w:ind w:left="240" w:right="240"/>
      </w:pPr>
      <w:r>
        <w:rPr>
          <w:rFonts w:ascii="Consolas" w:cs="Consolas" w:eastAsia="Consolas" w:hAnsi="Consolas"/>
          <w:color w:val="212F3D"/>
          <w:sz w:val="17"/>
          <w:szCs w:val="17"/>
        </w:rPr>
        <w:t xml:space="preserve">   v</w:t>
      </w:r>
    </w:p>
    <w:p>
      <w:pPr>
        <w:shd w:fill="F4F6F7" w:val="clear"/>
        <w:spacing w:after="0" w:line="240"/>
        <w:ind w:left="240" w:right="240"/>
      </w:pPr>
      <w:r>
        <w:rPr>
          <w:rFonts w:ascii="Consolas" w:cs="Consolas" w:eastAsia="Consolas" w:hAnsi="Consolas"/>
          <w:color w:val="212F3D"/>
          <w:sz w:val="17"/>
          <w:szCs w:val="17"/>
        </w:rPr>
        <w:t xml:space="preserve">[B] THERMAL EVALUATOR</w:t>
      </w:r>
    </w:p>
    <w:p>
      <w:pPr>
        <w:shd w:fill="F4F6F7" w:val="clear"/>
        <w:spacing w:after="0" w:line="240"/>
        <w:ind w:left="240" w:right="240"/>
      </w:pPr>
      <w:r>
        <w:rPr>
          <w:rFonts w:ascii="Consolas" w:cs="Consolas" w:eastAsia="Consolas" w:hAnsi="Consolas"/>
          <w:color w:val="212F3D"/>
          <w:sz w:val="17"/>
          <w:szCs w:val="17"/>
        </w:rPr>
        <w:t xml:space="preserve">   |-- exceedance(threshold, direction)   -&gt; hours past threshold / tile</w:t>
      </w:r>
    </w:p>
    <w:p>
      <w:pPr>
        <w:shd w:fill="F4F6F7" w:val="clear"/>
        <w:spacing w:after="0" w:line="240"/>
        <w:ind w:left="240" w:right="240"/>
      </w:pPr>
      <w:r>
        <w:rPr>
          <w:rFonts w:ascii="Consolas" w:cs="Consolas" w:eastAsia="Consolas" w:hAnsi="Consolas"/>
          <w:color w:val="212F3D"/>
          <w:sz w:val="17"/>
          <w:szCs w:val="17"/>
        </w:rPr>
        <w:t xml:space="preserve">   |-- persistence(threshold, direction)  -&gt; longest continuous run / tile</w:t>
      </w:r>
    </w:p>
    <w:p>
      <w:pPr>
        <w:shd w:fill="F4F6F7" w:val="clear"/>
        <w:spacing w:after="0" w:line="240"/>
        <w:ind w:left="240" w:right="240"/>
      </w:pPr>
      <w:r>
        <w:rPr>
          <w:rFonts w:ascii="Consolas" w:cs="Consolas" w:eastAsia="Consolas" w:hAnsi="Consolas"/>
          <w:color w:val="212F3D"/>
          <w:sz w:val="17"/>
          <w:szCs w:val="17"/>
        </w:rPr>
        <w:t xml:space="preserve">   |-- time_of_measure()                  -&gt; hour-of-day of peak / tile</w:t>
      </w:r>
    </w:p>
    <w:p>
      <w:pPr>
        <w:shd w:fill="F4F6F7" w:val="clear"/>
        <w:spacing w:after="0" w:line="240"/>
        <w:ind w:left="240" w:right="240"/>
      </w:pPr>
      <w:r>
        <w:rPr>
          <w:rFonts w:ascii="Consolas" w:cs="Consolas" w:eastAsia="Consolas" w:hAnsi="Consolas"/>
          <w:color w:val="212F3D"/>
          <w:sz w:val="17"/>
          <w:szCs w:val="17"/>
        </w:rPr>
        <w:t xml:space="preserve">   |-- env_params(points)                 -&gt; wet-bulb, apparent temp, heat index</w:t>
      </w:r>
    </w:p>
    <w:p>
      <w:pPr>
        <w:shd w:fill="F4F6F7" w:val="clear"/>
        <w:spacing w:after="0" w:line="240"/>
        <w:ind w:left="240" w:right="240"/>
      </w:pPr>
      <w:r>
        <w:rPr>
          <w:rFonts w:ascii="Consolas" w:cs="Consolas" w:eastAsia="Consolas" w:hAnsi="Consolas"/>
          <w:color w:val="212F3D"/>
          <w:sz w:val="17"/>
          <w:szCs w:val="17"/>
        </w:rPr>
        <w:t xml:space="preserve">   |</w:t>
      </w:r>
    </w:p>
    <w:p>
      <w:pPr>
        <w:shd w:fill="F4F6F7" w:val="clear"/>
        <w:spacing w:after="0" w:line="240"/>
        <w:ind w:left="240" w:right="240"/>
      </w:pPr>
      <w:r>
        <w:rPr>
          <w:rFonts w:ascii="Consolas" w:cs="Consolas" w:eastAsia="Consolas" w:hAnsi="Consolas"/>
          <w:color w:val="212F3D"/>
          <w:sz w:val="17"/>
          <w:szCs w:val="17"/>
        </w:rPr>
        <w:t xml:space="preserve">   +-&gt; area-weighted aggregation: tiles -&gt; administrative zones</w:t>
      </w:r>
    </w:p>
    <w:p>
      <w:pPr>
        <w:shd w:fill="F4F6F7" w:val="clear"/>
        <w:spacing w:after="0" w:line="240"/>
        <w:ind w:left="240" w:right="240"/>
      </w:pPr>
      <w:r>
        <w:rPr>
          <w:rFonts w:ascii="Consolas" w:cs="Consolas" w:eastAsia="Consolas" w:hAnsi="Consolas"/>
          <w:color w:val="212F3D"/>
          <w:sz w:val="17"/>
          <w:szCs w:val="17"/>
        </w:rPr>
        <w:t xml:space="preserve">   |</w:t>
      </w:r>
    </w:p>
    <w:p>
      <w:pPr>
        <w:shd w:fill="F4F6F7" w:val="clear"/>
        <w:spacing w:after="0" w:line="240"/>
        <w:ind w:left="240" w:right="240"/>
      </w:pPr>
      <w:r>
        <w:rPr>
          <w:rFonts w:ascii="Consolas" w:cs="Consolas" w:eastAsia="Consolas" w:hAnsi="Consolas"/>
          <w:color w:val="212F3D"/>
          <w:sz w:val="17"/>
          <w:szCs w:val="17"/>
        </w:rPr>
        <w:t xml:space="preserve">   v</w:t>
      </w:r>
    </w:p>
    <w:p>
      <w:pPr>
        <w:shd w:fill="F4F6F7" w:val="clear"/>
        <w:spacing w:after="0" w:line="240"/>
        <w:ind w:left="240" w:right="240"/>
      </w:pPr>
      <w:r>
        <w:rPr>
          <w:rFonts w:ascii="Consolas" w:cs="Consolas" w:eastAsia="Consolas" w:hAnsi="Consolas"/>
          <w:color w:val="212F3D"/>
          <w:sz w:val="17"/>
          <w:szCs w:val="17"/>
        </w:rPr>
        <w:t xml:space="preserve">[C] DIVERGENCE ENGINE</w:t>
      </w:r>
    </w:p>
    <w:p>
      <w:pPr>
        <w:shd w:fill="F4F6F7" w:val="clear"/>
        <w:spacing w:after="0" w:line="240"/>
        <w:ind w:left="240" w:right="240"/>
      </w:pPr>
      <w:r>
        <w:rPr>
          <w:rFonts w:ascii="Consolas" w:cs="Consolas" w:eastAsia="Consolas" w:hAnsi="Consolas"/>
          <w:color w:val="212F3D"/>
          <w:sz w:val="17"/>
          <w:szCs w:val="17"/>
        </w:rPr>
        <w:t xml:space="preserve">   |-- hyperlocal evaluation   (per zone)</w:t>
      </w:r>
    </w:p>
    <w:p>
      <w:pPr>
        <w:shd w:fill="F4F6F7" w:val="clear"/>
        <w:spacing w:after="0" w:line="240"/>
        <w:ind w:left="240" w:right="240"/>
      </w:pPr>
      <w:r>
        <w:rPr>
          <w:rFonts w:ascii="Consolas" w:cs="Consolas" w:eastAsia="Consolas" w:hAnsi="Consolas"/>
          <w:color w:val="212F3D"/>
          <w:sz w:val="17"/>
          <w:szCs w:val="17"/>
        </w:rPr>
        <w:t xml:space="preserve">   |-- citywide baseline       (AOI mean, labelled proxy)</w:t>
      </w:r>
    </w:p>
    <w:p>
      <w:pPr>
        <w:shd w:fill="F4F6F7" w:val="clear"/>
        <w:spacing w:after="0" w:line="240"/>
        <w:ind w:left="240" w:right="240"/>
      </w:pPr>
      <w:r>
        <w:rPr>
          <w:rFonts w:ascii="Consolas" w:cs="Consolas" w:eastAsia="Consolas" w:hAnsi="Consolas"/>
          <w:color w:val="212F3D"/>
          <w:sz w:val="17"/>
          <w:szCs w:val="17"/>
        </w:rPr>
        <w:t xml:space="preserve">   |-- lead time / silent zones / false-calm clauses</w:t>
      </w:r>
    </w:p>
    <w:p>
      <w:pPr>
        <w:shd w:fill="F4F6F7" w:val="clear"/>
        <w:spacing w:after="0" w:line="240"/>
        <w:ind w:left="240" w:right="240"/>
      </w:pPr>
      <w:r>
        <w:rPr>
          <w:rFonts w:ascii="Consolas" w:cs="Consolas" w:eastAsia="Consolas" w:hAnsi="Consolas"/>
          <w:color w:val="212F3D"/>
          <w:sz w:val="17"/>
          <w:szCs w:val="17"/>
        </w:rPr>
        <w:t xml:space="preserve">   |-- counterfactual: remove a resource -&gt; recompute feasible actors</w:t>
      </w:r>
    </w:p>
    <w:p>
      <w:pPr>
        <w:shd w:fill="F4F6F7" w:val="clear"/>
        <w:spacing w:after="0" w:line="240"/>
        <w:ind w:left="240" w:right="240"/>
      </w:pPr>
      <w:r>
        <w:rPr>
          <w:rFonts w:ascii="Consolas" w:cs="Consolas" w:eastAsia="Consolas" w:hAnsi="Consolas"/>
          <w:color w:val="212F3D"/>
          <w:sz w:val="17"/>
          <w:szCs w:val="17"/>
        </w:rPr>
        <w:t xml:space="preserve">   |</w:t>
      </w:r>
    </w:p>
    <w:p>
      <w:pPr>
        <w:shd w:fill="F4F6F7" w:val="clear"/>
        <w:spacing w:after="0" w:line="240"/>
        <w:ind w:left="240" w:right="240"/>
      </w:pPr>
      <w:r>
        <w:rPr>
          <w:rFonts w:ascii="Consolas" w:cs="Consolas" w:eastAsia="Consolas" w:hAnsi="Consolas"/>
          <w:color w:val="212F3D"/>
          <w:sz w:val="17"/>
          <w:szCs w:val="17"/>
        </w:rPr>
        <w:t xml:space="preserve">   v</w:t>
      </w:r>
    </w:p>
    <w:p>
      <w:pPr>
        <w:shd w:fill="F4F6F7" w:val="clear"/>
        <w:spacing w:after="0" w:line="240"/>
        <w:ind w:left="240" w:right="240"/>
      </w:pPr>
      <w:r>
        <w:rPr>
          <w:rFonts w:ascii="Consolas" w:cs="Consolas" w:eastAsia="Consolas" w:hAnsi="Consolas"/>
          <w:color w:val="212F3D"/>
          <w:sz w:val="17"/>
          <w:szCs w:val="17"/>
        </w:rPr>
        <w:t xml:space="preserve">[D] ACTION BRIEF  (LLM narration over verified structured results)</w:t>
      </w:r>
    </w:p>
    <w:p>
      <w:pPr>
        <w:spacing w:after="140"/>
      </w:pPr>
      <w:r>
        <w:rPr>
          <w:sz w:val="2"/>
          <w:szCs w:val="2"/>
        </w:rPr>
        <w:t xml:space="preserve"/>
      </w:r>
    </w:p>
    <w:p>
      <w:pPr>
        <w:pStyle w:val="Heading2"/>
        <w:spacing w:after="120" w:before="260"/>
      </w:pPr>
      <w:r>
        <w:rPr>
          <w:rFonts w:ascii="Calibri" w:cs="Calibri" w:eastAsia="Calibri" w:hAnsi="Calibri"/>
          <w:b/>
          <w:bCs/>
          <w:color w:val="1B2631"/>
          <w:sz w:val="24"/>
          <w:szCs w:val="24"/>
        </w:rPr>
        <w:t xml:space="preserve">6.1  Aggregation note</w:t>
      </w:r>
    </w:p>
    <w:p>
      <w:pPr>
        <w:spacing w:after="120" w:before="0" w:line="276"/>
      </w:pPr>
      <w:r>
        <w:rPr>
          <w:rFonts w:ascii="Calibri" w:cs="Calibri" w:eastAsia="Calibri" w:hAnsi="Calibri"/>
          <w:color w:val="1B2631"/>
          <w:sz w:val="21"/>
          <w:szCs w:val="21"/>
        </w:rPr>
        <w:t xml:space="preserve">Tiles do not align to administrative boundaries, and a nearest-tile lookup silently discards most of a zone. Use an area-weighted mean over every tile a zone boundary overlaps, weighted by overlap area — the same approach FortyGuard’s own parcel notebooks use. State this in the README; it is a small detail that signals you read the documentation properly.</w:t>
      </w:r>
    </w:p>
    <w:p>
      <w:pPr>
        <w:pStyle w:val="Heading2"/>
        <w:spacing w:after="120" w:before="260"/>
      </w:pPr>
      <w:r>
        <w:rPr>
          <w:rFonts w:ascii="Calibri" w:cs="Calibri" w:eastAsia="Calibri" w:hAnsi="Calibri"/>
          <w:b/>
          <w:bCs/>
          <w:color w:val="1B2631"/>
          <w:sz w:val="24"/>
          <w:szCs w:val="24"/>
        </w:rPr>
        <w:t xml:space="preserve">6.2  Schema trap to avoid</w:t>
      </w:r>
    </w:p>
    <w:p>
      <w:pPr>
        <w:spacing w:after="120" w:before="0" w:line="276"/>
      </w:pPr>
      <w:r>
        <w:rPr>
          <w:rFonts w:ascii="Calibri" w:cs="Calibri" w:eastAsia="Calibri" w:hAnsi="Calibri"/>
          <w:color w:val="1B2631"/>
          <w:sz w:val="21"/>
          <w:szCs w:val="21"/>
        </w:rPr>
        <w:t xml:space="preserve">Analysis heatmaps return properties.value with stats_data.units. Only the default snapshot type returns average_temperature, min_temperature and max_temperature. Code written against the snapshot schema will silently find nothing on an exceedance response. Handle both paths from the first commit.</w:t>
      </w:r>
    </w:p>
    <w:p>
      <w:pPr>
        <w:spacing w:after="120" w:before="0" w:line="276"/>
      </w:pPr>
      <w:r>
        <w:rPr>
          <w:rFonts w:ascii="Calibri" w:cs="Calibri" w:eastAsia="Calibri" w:hAnsi="Calibri"/>
          <w:color w:val="1B2631"/>
          <w:sz w:val="21"/>
          <w:szCs w:val="21"/>
        </w:rPr>
        <w:t xml:space="preserve">Also: threshold is in °C, and exceedance returns a count of hours, not degree-hours. A value of 6.0 means six hours past the threshold. Getting this wrong in the writeup would be immediately visible to the judges.</w:t>
      </w:r>
    </w:p>
    <w:p>
      <w:pPr>
        <w:pStyle w:val="Heading1"/>
        <w:spacing w:after="160" w:before="360"/>
      </w:pPr>
      <w:r>
        <w:rPr>
          <w:rFonts w:ascii="Calibri" w:cs="Calibri" w:eastAsia="Calibri" w:hAnsi="Calibri"/>
          <w:b/>
          <w:bCs/>
          <w:color w:val="B03A2E"/>
          <w:sz w:val="30"/>
          <w:szCs w:val="30"/>
        </w:rPr>
        <w:t xml:space="preserve">7. Scope: build, cut, fake</w:t>
      </w:r>
    </w:p>
    <w:p>
      <w:pPr>
        <w:spacing w:after="120" w:before="0" w:line="276"/>
      </w:pPr>
      <w:r>
        <w:rPr>
          <w:rFonts w:ascii="Calibri" w:cs="Calibri" w:eastAsia="Calibri" w:hAnsi="Calibri"/>
          <w:color w:val="1B2631"/>
          <w:sz w:val="21"/>
          <w:szCs w:val="21"/>
        </w:rPr>
        <w:t xml:space="preserve">Every hour spent on something in the middle column is an hour not spent on the thing that wins.</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1B2631"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Build (non-negotiable)</w:t>
            </w:r>
          </w:p>
        </w:tc>
        <w:tc>
          <w:tcPr>
            <w:tcW w:type="dxa" w:w="3200"/>
            <w:shd w:fill="1B2631"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Cut from v1</w:t>
            </w:r>
          </w:p>
        </w:tc>
        <w:tc>
          <w:tcPr>
            <w:tcW w:type="dxa" w:w="2960"/>
            <w:shd w:fill="1B2631"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Fake / precompute</w:t>
            </w:r>
          </w:p>
        </w:tc>
      </w:tr>
      <w:tr>
        <w:tc>
          <w:tcPr>
            <w:tcW w:type="dxa" w:w="32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Clause compiler + golden-set evaluation</w:t>
            </w:r>
          </w:p>
        </w:tc>
        <w:tc>
          <w:tcPr>
            <w:tcW w:type="dxa" w:w="32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3D globe — use a 2D Leaflet or Mapbox map</w:t>
            </w:r>
          </w:p>
        </w:tc>
        <w:tc>
          <w:tcPr>
            <w:tcW w:type="dxa" w:w="296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Population layer: static precomputed file, not a live WorldPop call</w:t>
            </w:r>
          </w:p>
        </w:tc>
      </w:tr>
      <w:tr>
        <w:tc>
          <w:tcPr>
            <w:tcW w:type="dxa" w:w="32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Exceedance / persistence evaluation per zone</w:t>
            </w:r>
          </w:p>
        </w:tc>
        <w:tc>
          <w:tcPr>
            <w:tcW w:type="dxa" w:w="32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Open natural-language mission box — use 4 preset missions plus an optional free-text field</w:t>
            </w:r>
          </w:p>
        </w:tc>
        <w:tc>
          <w:tcPr>
            <w:tcW w:type="dxa" w:w="296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Administrative boundaries: downloaded once, committed to the repo</w:t>
            </w:r>
          </w:p>
        </w:tc>
      </w:tr>
      <w:tr>
        <w:tc>
          <w:tcPr>
            <w:tcW w:type="dxa" w:w="32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Divergence engine and the three metrics</w:t>
            </w:r>
          </w:p>
        </w:tc>
        <w:tc>
          <w:tcPr>
            <w:tcW w:type="dxa" w:w="32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Five separate agents — merge into three working stages</w:t>
            </w:r>
          </w:p>
        </w:tc>
        <w:tc>
          <w:tcPr>
            <w:tcW w:type="dxa" w:w="296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All API responses: cached to disk on first call and shipped with the repo</w:t>
            </w:r>
          </w:p>
        </w:tc>
      </w:tr>
      <w:tr>
        <w:tc>
          <w:tcPr>
            <w:tcW w:type="dxa" w:w="32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One counterfactual that visibly changes the recommendation</w:t>
            </w:r>
          </w:p>
        </w:tc>
        <w:tc>
          <w:tcPr>
            <w:tcW w:type="dxa" w:w="32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Multi-city portability demo — one paragraph in the README instead</w:t>
            </w:r>
          </w:p>
        </w:tc>
        <w:tc>
          <w:tcPr>
            <w:tcW w:type="dxa" w:w="296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Citywide baseline: AOI mean as a labelled proxy for station sensing</w:t>
            </w:r>
          </w:p>
        </w:tc>
      </w:tr>
      <w:tr>
        <w:tc>
          <w:tcPr>
            <w:tcW w:type="dxa" w:w="32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Provenance UI: click any recommendation, see the clause and page</w:t>
            </w:r>
          </w:p>
        </w:tc>
        <w:tc>
          <w:tcPr>
            <w:tcW w:type="dxa" w:w="32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Live monitoring loop — static study window is enough</w:t>
            </w:r>
          </w:p>
        </w:tc>
        <w:tc>
          <w:tcPr>
            <w:tcW w:type="dxa" w:w="296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w:t>
            </w:r>
          </w:p>
        </w:tc>
      </w:tr>
    </w:tbl>
    <w:p>
      <w:pPr>
        <w:spacing w:after="120"/>
      </w:pPr>
      <w:r>
        <w:rPr>
          <w:sz w:val="2"/>
          <w:szCs w:val="2"/>
        </w:rPr>
        <w:t xml:space="preserve"/>
      </w:r>
    </w:p>
    <w:p>
      <w:pPr>
        <w:pBdr>
          <w:top w:val="none"/>
          <w:bottom w:val="none"/>
          <w:left w:val="single" w:color="B03A2E" w:sz="18" w:space="8"/>
          <w:right w:val="none"/>
        </w:pBdr>
        <w:shd w:fill="FDEDEC" w:val="clear"/>
        <w:spacing w:after="200" w:before="160" w:line="276"/>
        <w:ind w:left="200" w:right="200"/>
      </w:pPr>
      <w:r>
        <w:rPr>
          <w:rFonts w:ascii="Calibri" w:cs="Calibri" w:eastAsia="Calibri" w:hAnsi="Calibri"/>
          <w:b/>
          <w:bCs/>
          <w:color w:val="922B21"/>
          <w:sz w:val="21"/>
          <w:szCs w:val="21"/>
        </w:rPr>
        <w:t xml:space="preserve">Hard gate: if there is no divergence number by end of Day 5 (24 August), cut the counterfactual and ship the measurement. The number is worth more than the feature.</w:t>
      </w:r>
    </w:p>
    <w:p>
      <w:pPr>
        <w:pStyle w:val="Heading1"/>
        <w:spacing w:after="160" w:before="360"/>
      </w:pPr>
      <w:r>
        <w:rPr>
          <w:rFonts w:ascii="Calibri" w:cs="Calibri" w:eastAsia="Calibri" w:hAnsi="Calibri"/>
          <w:b/>
          <w:bCs/>
          <w:color w:val="B03A2E"/>
          <w:sz w:val="30"/>
          <w:szCs w:val="30"/>
        </w:rPr>
        <w:t xml:space="preserve">8. Data strategy and API budget</w:t>
      </w:r>
    </w:p>
    <w:p>
      <w:pPr>
        <w:spacing w:after="120" w:before="0" w:line="276"/>
      </w:pPr>
      <w:r>
        <w:rPr>
          <w:rFonts w:ascii="Calibri" w:cs="Calibri" w:eastAsia="Calibri" w:hAnsi="Calibri"/>
          <w:color w:val="1B2631"/>
          <w:sz w:val="21"/>
          <w:szCs w:val="21"/>
        </w:rPr>
        <w:t xml:space="preserve">v1’s rule holds and is restated: every external source must unlock a decision FortyGuard alone cannot make. We do not add APIs to make the stack look impressive.</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shd w:fill="1B2631"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Layer</w:t>
            </w:r>
          </w:p>
        </w:tc>
        <w:tc>
          <w:tcPr>
            <w:tcW w:type="dxa" w:w="3400"/>
            <w:shd w:fill="1B2631"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Source</w:t>
            </w:r>
          </w:p>
        </w:tc>
        <w:tc>
          <w:tcPr>
            <w:tcW w:type="dxa" w:w="4160"/>
            <w:shd w:fill="1B2631"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Role</w:t>
            </w:r>
          </w:p>
        </w:tc>
      </w:tr>
      <w:tr>
        <w:tc>
          <w:tcPr>
            <w:tcW w:type="dxa" w:w="18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Thermal truth</w:t>
            </w:r>
          </w:p>
        </w:tc>
        <w:tc>
          <w:tcPr>
            <w:tcW w:type="dxa" w:w="34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FortyGuard heatmap — exceedance, persistence, time_of_measure</w:t>
            </w:r>
          </w:p>
        </w:tc>
        <w:tc>
          <w:tcPr>
            <w:tcW w:type="dxa" w:w="416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The entire evaluation substrate. Nothing else can produce hours-above-threshold at 2 m.</w:t>
            </w:r>
          </w:p>
        </w:tc>
      </w:tr>
      <w:tr>
        <w:tc>
          <w:tcPr>
            <w:tcW w:type="dxa" w:w="18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Humidity axis</w:t>
            </w:r>
          </w:p>
        </w:tc>
        <w:tc>
          <w:tcPr>
            <w:tcW w:type="dxa" w:w="34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FortyGuard env_params — wet-bulb, apparent temperature, heat index</w:t>
            </w:r>
          </w:p>
        </w:tc>
        <w:tc>
          <w:tcPr>
            <w:tcW w:type="dxa" w:w="416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Required because Karachi’s clauses should trigger on humid heat, not dry-bulb peak.</w:t>
            </w:r>
          </w:p>
        </w:tc>
      </w:tr>
      <w:tr>
        <w:tc>
          <w:tcPr>
            <w:tcW w:type="dxa" w:w="18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Urban explanation</w:t>
            </w:r>
          </w:p>
        </w:tc>
        <w:tc>
          <w:tcPr>
            <w:tcW w:type="dxa" w:w="34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FortyGuard satellite segmentation (Premium, if tier allows)</w:t>
            </w:r>
          </w:p>
        </w:tc>
        <w:tc>
          <w:tcPr>
            <w:tcW w:type="dxa" w:w="416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Explains why a silent zone is hot. Two or three hero zones only.</w:t>
            </w:r>
          </w:p>
        </w:tc>
      </w:tr>
      <w:tr>
        <w:tc>
          <w:tcPr>
            <w:tcW w:type="dxa" w:w="18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Zone geometry</w:t>
            </w:r>
          </w:p>
        </w:tc>
        <w:tc>
          <w:tcPr>
            <w:tcW w:type="dxa" w:w="34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OpenStreetMap / official administrative boundaries</w:t>
            </w:r>
          </w:p>
        </w:tc>
        <w:tc>
          <w:tcPr>
            <w:tcW w:type="dxa" w:w="416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Aggregation units and named actors. Downloaded once, committed.</w:t>
            </w:r>
          </w:p>
        </w:tc>
      </w:tr>
      <w:tr>
        <w:tc>
          <w:tcPr>
            <w:tcW w:type="dxa" w:w="18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Exposure</w:t>
            </w:r>
          </w:p>
        </w:tc>
        <w:tc>
          <w:tcPr>
            <w:tcW w:type="dxa" w:w="34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WorldPop or equivalent open source</w:t>
            </w:r>
          </w:p>
        </w:tc>
        <w:tc>
          <w:tcPr>
            <w:tcW w:type="dxa" w:w="416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Converts silent zones into a population number. Static file.</w:t>
            </w:r>
          </w:p>
        </w:tc>
      </w:tr>
      <w:tr>
        <w:tc>
          <w:tcPr>
            <w:tcW w:type="dxa" w:w="18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Policy</w:t>
            </w:r>
          </w:p>
        </w:tc>
        <w:tc>
          <w:tcPr>
            <w:tcW w:type="dxa" w:w="34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Official published Heat Action Plan</w:t>
            </w:r>
          </w:p>
        </w:tc>
        <w:tc>
          <w:tcPr>
            <w:tcW w:type="dxa" w:w="416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The input to the compiler. This is the load-bearing asset.</w:t>
            </w:r>
          </w:p>
        </w:tc>
      </w:tr>
    </w:tbl>
    <w:p>
      <w:pPr>
        <w:spacing w:after="120"/>
      </w:pPr>
      <w:r>
        <w:rPr>
          <w:sz w:val="2"/>
          <w:szCs w:val="2"/>
        </w:rPr>
        <w:t xml:space="preserve"/>
      </w:r>
    </w:p>
    <w:p>
      <w:pPr>
        <w:pStyle w:val="Heading2"/>
        <w:spacing w:after="120" w:before="260"/>
      </w:pPr>
      <w:r>
        <w:rPr>
          <w:rFonts w:ascii="Calibri" w:cs="Calibri" w:eastAsia="Calibri" w:hAnsi="Calibri"/>
          <w:b/>
          <w:bCs/>
          <w:color w:val="1B2631"/>
          <w:sz w:val="24"/>
          <w:szCs w:val="24"/>
        </w:rPr>
        <w:t xml:space="preserve">8.1  Credit discipline</w:t>
      </w:r>
    </w:p>
    <w:p>
      <w:pPr>
        <w:pStyle w:val="ListParagraph"/>
        <w:numPr>
          <w:ilvl w:val="0"/>
          <w:numId w:val="2"/>
        </w:numPr>
        <w:spacing w:after="80" w:line="276"/>
      </w:pPr>
      <w:r>
        <w:rPr>
          <w:rFonts w:ascii="Calibri" w:cs="Calibri" w:eastAsia="Calibri" w:hAnsi="Calibri"/>
          <w:color w:val="1B2631"/>
          <w:sz w:val="21"/>
          <w:szCs w:val="21"/>
        </w:rPr>
        <w:t xml:space="preserve">Failed tasks are free; credits are deducted only when a task reaches Completed. Cheap to retry, expensive to succeed carelessly.</w:t>
      </w:r>
    </w:p>
    <w:p>
      <w:pPr>
        <w:pStyle w:val="ListParagraph"/>
        <w:numPr>
          <w:ilvl w:val="0"/>
          <w:numId w:val="2"/>
        </w:numPr>
        <w:spacing w:after="80" w:line="276"/>
      </w:pPr>
      <w:r>
        <w:rPr>
          <w:rFonts w:ascii="Calibri" w:cs="Calibri" w:eastAsia="Calibri" w:hAnsi="Calibri"/>
          <w:color w:val="1B2631"/>
          <w:sz w:val="21"/>
          <w:szCs w:val="21"/>
        </w:rPr>
        <w:t xml:space="preserve">Explore at 100 m granularity. Spend 60 m only on the two or three zones that appear in the video.</w:t>
      </w:r>
    </w:p>
    <w:p>
      <w:pPr>
        <w:pStyle w:val="ListParagraph"/>
        <w:numPr>
          <w:ilvl w:val="0"/>
          <w:numId w:val="2"/>
        </w:numPr>
        <w:spacing w:after="80" w:line="276"/>
      </w:pPr>
      <w:r>
        <w:rPr>
          <w:rFonts w:ascii="Calibri" w:cs="Calibri" w:eastAsia="Calibri" w:hAnsi="Calibri"/>
          <w:color w:val="1B2631"/>
          <w:sz w:val="21"/>
          <w:szCs w:val="21"/>
        </w:rPr>
        <w:t xml:space="preserve">Cache every response to disk on first call, and ship the cache. FortyGuard’s own parcel notebooks run with no API key for exactly this reason. A judge who can clone and run offline scores you far higher than one who hits an authentication wall.</w:t>
      </w:r>
    </w:p>
    <w:p>
      <w:pPr>
        <w:pStyle w:val="ListParagraph"/>
        <w:numPr>
          <w:ilvl w:val="0"/>
          <w:numId w:val="2"/>
        </w:numPr>
        <w:spacing w:after="80" w:line="276"/>
      </w:pPr>
      <w:r>
        <w:rPr>
          <w:rFonts w:ascii="Calibri" w:cs="Calibri" w:eastAsia="Calibri" w:hAnsi="Calibri"/>
          <w:color w:val="1B2631"/>
          <w:sz w:val="21"/>
          <w:szCs w:val="21"/>
        </w:rPr>
        <w:t xml:space="preserve">Never call the API live during the demo recording. Async submit-and-poll takes seconds to minutes and will make a working system look broken.</w:t>
      </w:r>
    </w:p>
    <w:p>
      <w:pPr>
        <w:pStyle w:val="ListParagraph"/>
        <w:numPr>
          <w:ilvl w:val="0"/>
          <w:numId w:val="2"/>
        </w:numPr>
        <w:spacing w:after="80" w:line="276"/>
      </w:pPr>
      <w:r>
        <w:rPr>
          <w:rFonts w:ascii="Calibri" w:cs="Calibri" w:eastAsia="Calibri" w:hAnsi="Calibri"/>
          <w:color w:val="1B2631"/>
          <w:sz w:val="21"/>
          <w:szCs w:val="21"/>
        </w:rPr>
        <w:t xml:space="preserve">Confirm the API tier on day 1. Satellite, street-view and heat-intelligence endpoints are Premium-gated; if the hackathon key is Basic, the architecture above still stands but section 8’s urban-explanation row is dropped.</w:t>
      </w:r>
    </w:p>
    <w:p>
      <w:pPr>
        <w:pStyle w:val="Heading1"/>
        <w:spacing w:after="160" w:before="360"/>
      </w:pPr>
      <w:r>
        <w:rPr>
          <w:rFonts w:ascii="Calibri" w:cs="Calibri" w:eastAsia="Calibri" w:hAnsi="Calibri"/>
          <w:b/>
          <w:bCs/>
          <w:color w:val="B03A2E"/>
          <w:sz w:val="30"/>
          <w:szCs w:val="30"/>
        </w:rPr>
        <w:t xml:space="preserve">9. Track strategy</w:t>
      </w:r>
    </w:p>
    <w:p>
      <w:pPr>
        <w:spacing w:after="120" w:before="0" w:line="276"/>
      </w:pPr>
      <w:r>
        <w:rPr>
          <w:rFonts w:ascii="Calibri" w:cs="Calibri" w:eastAsia="Calibri" w:hAnsi="Calibri"/>
          <w:color w:val="1B2631"/>
          <w:sz w:val="21"/>
          <w:szCs w:val="21"/>
        </w:rPr>
        <w:t xml:space="preserve">Tracks can be combined. The goal is to claim maximum surface while entering through the least contested door. Crowding below is estimated from the public repositories currently visible for this hackathon.</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400"/>
        <w:gridCol w:w="2460"/>
      </w:tblGrid>
      <w:tr>
        <w:trPr>
          <w:tblHeader/>
        </w:trPr>
        <w:tc>
          <w:tcPr>
            <w:tcW w:type="dxa" w:w="2500"/>
            <w:shd w:fill="1B2631"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Track</w:t>
            </w:r>
          </w:p>
        </w:tc>
        <w:tc>
          <w:tcPr>
            <w:tcW w:type="dxa" w:w="4400"/>
            <w:shd w:fill="1B2631"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Our claim</w:t>
            </w:r>
          </w:p>
        </w:tc>
        <w:tc>
          <w:tcPr>
            <w:tcW w:type="dxa" w:w="2460"/>
            <w:shd w:fill="1B2631"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Observed crowding</w:t>
            </w:r>
          </w:p>
        </w:tc>
      </w:tr>
      <w:tr>
        <w:tc>
          <w:tcPr>
            <w:tcW w:type="dxa" w:w="25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04 — Government &amp; Environment</w:t>
            </w:r>
          </w:p>
        </w:tc>
        <w:tc>
          <w:tcPr>
            <w:tcW w:type="dxa" w:w="44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PRIMARY. The user is a city heat officer executing a legal instrument. This is the highest-impact framing available and Impact is 40% of the score.</w:t>
            </w:r>
          </w:p>
        </w:tc>
        <w:tc>
          <w:tcPr>
            <w:tcW w:type="dxa" w:w="246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Moderate — two or three visible entrants, none compiling policy documents</w:t>
            </w:r>
          </w:p>
        </w:tc>
      </w:tr>
      <w:tr>
        <w:tc>
          <w:tcPr>
            <w:tcW w:type="dxa" w:w="25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07 — Data Analysis &amp; Correlation</w:t>
            </w:r>
          </w:p>
        </w:tc>
        <w:tc>
          <w:tcPr>
            <w:tcW w:type="dxa" w:w="44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CO-PRIMARY. Trigger Divergence is a correlation and divergence result: hyperlocal versus citywide sensing of the same rule set over the same window.</w:t>
            </w:r>
          </w:p>
        </w:tc>
        <w:tc>
          <w:tcPr>
            <w:tcW w:type="dxa" w:w="246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Light — mostly claimed as a secondary</w:t>
            </w:r>
          </w:p>
        </w:tc>
      </w:tr>
      <w:tr>
        <w:tc>
          <w:tcPr>
            <w:tcW w:type="dxa" w:w="25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05 — Model Designing</w:t>
            </w:r>
          </w:p>
        </w:tc>
        <w:tc>
          <w:tcPr>
            <w:tcW w:type="dxa" w:w="44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SUPPORTING. The clause compiler is an extraction model with a hand-built golden set and reported precision and recall.</w:t>
            </w:r>
          </w:p>
        </w:tc>
        <w:tc>
          <w:tcPr>
            <w:tcW w:type="dxa" w:w="246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Very light — effectively unclaimed in the visible field</w:t>
            </w:r>
          </w:p>
        </w:tc>
      </w:tr>
      <w:tr>
        <w:tc>
          <w:tcPr>
            <w:tcW w:type="dxa" w:w="25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06 — Agentic AI</w:t>
            </w:r>
          </w:p>
        </w:tc>
        <w:tc>
          <w:tcPr>
            <w:tcW w:type="dxa" w:w="44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MENTIONED, NOT LED. The compiler and counterfactual engine are agentic, but we do not compete here.</w:t>
            </w:r>
          </w:p>
        </w:tc>
        <w:tc>
          <w:tcPr>
            <w:tcW w:type="dxa" w:w="246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Heaviest — the single most saturated track in the competition</w:t>
            </w:r>
          </w:p>
        </w:tc>
      </w:tr>
      <w:tr>
        <w:tc>
          <w:tcPr>
            <w:tcW w:type="dxa" w:w="25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01 — Resilient Cities &amp; Infrastructure</w:t>
            </w:r>
          </w:p>
        </w:tc>
        <w:tc>
          <w:tcPr>
            <w:tcW w:type="dxa" w:w="44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Optional secondary if room allows.</w:t>
            </w:r>
          </w:p>
        </w:tc>
        <w:tc>
          <w:tcPr>
            <w:tcW w:type="dxa" w:w="246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Heavy — dashboards</w:t>
            </w:r>
          </w:p>
        </w:tc>
      </w:tr>
    </w:tbl>
    <w:p>
      <w:pPr>
        <w:spacing w:after="120"/>
      </w:pPr>
      <w:r>
        <w:rPr>
          <w:sz w:val="2"/>
          <w:szCs w:val="2"/>
        </w:rPr>
        <w:t xml:space="preserve"/>
      </w:r>
    </w:p>
    <w:p>
      <w:pPr>
        <w:spacing w:after="120" w:before="0" w:line="276"/>
      </w:pPr>
      <w:r>
        <w:rPr>
          <w:rFonts w:ascii="Calibri" w:cs="Calibri" w:eastAsia="Calibri" w:hAnsi="Calibri"/>
          <w:b/>
          <w:bCs/>
          <w:color w:val="1B2631"/>
          <w:sz w:val="21"/>
          <w:szCs w:val="21"/>
        </w:rPr>
        <w:t xml:space="preserve">How to phrase it in the submission: </w:t>
      </w:r>
      <w:r>
        <w:rPr>
          <w:rFonts w:ascii="Calibri" w:cs="Calibri" w:eastAsia="Calibri" w:hAnsi="Calibri"/>
          <w:color w:val="1B2631"/>
          <w:sz w:val="21"/>
          <w:szCs w:val="21"/>
        </w:rPr>
        <w:t xml:space="preserve">Track 04 is who it is for. Track 07 is what we proved. Track 05 is how we proved the compiler works. Leading with Government &amp; Environment rather than Agentic AI moves us out of the most crowded comparison set without giving up any of the agentic credit.</w:t>
      </w:r>
    </w:p>
    <w:p>
      <w:pPr>
        <w:pStyle w:val="Heading2"/>
        <w:spacing w:after="120" w:before="260"/>
      </w:pPr>
      <w:r>
        <w:rPr>
          <w:rFonts w:ascii="Calibri" w:cs="Calibri" w:eastAsia="Calibri" w:hAnsi="Calibri"/>
          <w:b/>
          <w:bCs/>
          <w:color w:val="1B2631"/>
          <w:sz w:val="24"/>
          <w:szCs w:val="24"/>
        </w:rPr>
        <w:t xml:space="preserve">9.1  Differentiation against the actual field</w:t>
      </w:r>
    </w:p>
    <w:p>
      <w:pPr>
        <w:spacing w:after="120" w:before="0" w:line="276"/>
      </w:pPr>
      <w:r>
        <w:rPr>
          <w:rFonts w:ascii="Calibri" w:cs="Calibri" w:eastAsia="Calibri" w:hAnsi="Calibri"/>
          <w:color w:val="1B2631"/>
          <w:sz w:val="21"/>
          <w:szCs w:val="21"/>
        </w:rPr>
        <w:t xml:space="preserve">v1 differentiated against FortyGuard’s own products, which was necessary but not sufficient. The competitive field matters more. Roughly seventy per cent of visible submissions are a heat map with a language-model alert layer on top: dashboards, command centres, alerting agents, cool-route planners and worker-safety apps. Several are well executed.</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shd w:fill="1B2631"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What the field is building</w:t>
            </w:r>
          </w:p>
        </w:tc>
        <w:tc>
          <w:tcPr>
            <w:tcW w:type="dxa" w:w="4960"/>
            <w:shd w:fill="1B2631"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What TRIGGER does instead</w:t>
            </w:r>
          </w:p>
        </w:tc>
      </w:tr>
      <w:tr>
        <w:tc>
          <w:tcPr>
            <w:tcW w:type="dxa" w:w="44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Perception — map where it is hot</w:t>
            </w:r>
          </w:p>
        </w:tc>
        <w:tc>
          <w:tcPr>
            <w:tcW w:type="dxa" w:w="496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Adjudication — determine which clauses of a real legal document are in force, where, and for whom</w:t>
            </w:r>
          </w:p>
        </w:tc>
      </w:tr>
      <w:tr>
        <w:tc>
          <w:tcPr>
            <w:tcW w:type="dxa" w:w="44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Notification — alert someone when a threshold is crossed</w:t>
            </w:r>
          </w:p>
        </w:tc>
        <w:tc>
          <w:tcPr>
            <w:tcW w:type="dxa" w:w="496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Measurement — quantify what the existing official threshold has been missing, in hours and in people</w:t>
            </w:r>
          </w:p>
        </w:tc>
      </w:tr>
      <w:tr>
        <w:tc>
          <w:tcPr>
            <w:tcW w:type="dxa" w:w="44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Rules hardcoded by the team</w:t>
            </w:r>
          </w:p>
        </w:tc>
        <w:tc>
          <w:tcPr>
            <w:tcW w:type="dxa" w:w="496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Rules compiled from a published document, with page-anchored provenance and a measured extraction score</w:t>
            </w:r>
          </w:p>
        </w:tc>
      </w:tr>
      <w:tr>
        <w:tc>
          <w:tcPr>
            <w:tcW w:type="dxa" w:w="44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Snapshot temperature as the ranking signal</w:t>
            </w:r>
          </w:p>
        </w:tc>
        <w:tc>
          <w:tcPr>
            <w:tcW w:type="dxa" w:w="496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Exceedance and persistence as the ranking signal, because that is what the clauses actually specify</w:t>
            </w:r>
          </w:p>
        </w:tc>
      </w:tr>
    </w:tbl>
    <w:p>
      <w:pPr>
        <w:spacing w:after="120"/>
      </w:pPr>
      <w:r>
        <w:rPr>
          <w:sz w:val="2"/>
          <w:szCs w:val="2"/>
        </w:rPr>
        <w:t xml:space="preserve"/>
      </w:r>
    </w:p>
    <w:p>
      <w:pPr>
        <w:spacing w:after="120" w:before="0" w:line="276"/>
      </w:pPr>
      <w:r>
        <w:rPr>
          <w:rFonts w:ascii="Calibri" w:cs="Calibri" w:eastAsia="Calibri" w:hAnsi="Calibri"/>
          <w:color w:val="1B2631"/>
          <w:sz w:val="21"/>
          <w:szCs w:val="21"/>
        </w:rPr>
        <w:t xml:space="preserve">The nearest competitor concept visible is a municipal compliance engine with a hardcoded rules layer. The distinction to draw explicitly, and repeatedly, is that ours ingests the actual published plan. That is the defensible boundary, and it cannot be closed by another team in the days remaining.</w:t>
      </w:r>
    </w:p>
    <w:p>
      <w:pPr>
        <w:pStyle w:val="Heading1"/>
        <w:spacing w:after="160" w:before="360"/>
      </w:pPr>
      <w:r>
        <w:rPr>
          <w:rFonts w:ascii="Calibri" w:cs="Calibri" w:eastAsia="Calibri" w:hAnsi="Calibri"/>
          <w:b/>
          <w:bCs/>
          <w:color w:val="B03A2E"/>
          <w:sz w:val="30"/>
          <w:szCs w:val="30"/>
        </w:rPr>
        <w:t xml:space="preserve">10. Blockers to clear before any code is written</w:t>
      </w:r>
    </w:p>
    <w:p>
      <w:pPr>
        <w:spacing w:after="120" w:before="0" w:line="276"/>
      </w:pPr>
      <w:r>
        <w:rPr>
          <w:rFonts w:ascii="Calibri" w:cs="Calibri" w:eastAsia="Calibri" w:hAnsi="Calibri"/>
          <w:color w:val="1B2631"/>
          <w:sz w:val="21"/>
          <w:szCs w:val="21"/>
        </w:rPr>
        <w:t xml:space="preserve">Both of these are day-1 checks. If either fails, the demo city changes — but the product does not.</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4260"/>
      </w:tblGrid>
      <w:tr>
        <w:trPr>
          <w:tblHeader/>
        </w:trPr>
        <w:tc>
          <w:tcPr>
            <w:tcW w:type="dxa" w:w="500"/>
            <w:shd w:fill="1B2631"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t>
            </w:r>
          </w:p>
        </w:tc>
        <w:tc>
          <w:tcPr>
            <w:tcW w:type="dxa" w:w="4600"/>
            <w:shd w:fill="1B2631"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Check</w:t>
            </w:r>
          </w:p>
        </w:tc>
        <w:tc>
          <w:tcPr>
            <w:tcW w:type="dxa" w:w="4260"/>
            <w:shd w:fill="1B2631"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Failure plan</w:t>
            </w:r>
          </w:p>
        </w:tc>
      </w:tr>
      <w:tr>
        <w:tc>
          <w:tcPr>
            <w:tcW w:type="dxa" w:w="5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1</w:t>
            </w:r>
          </w:p>
        </w:tc>
        <w:tc>
          <w:tcPr>
            <w:tcW w:type="dxa" w:w="46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Does FortyGuard return usable tiles over Karachi, at the granularity we need, for a historical window containing a real heat event? Run one small AOI query today and look at the tiles.</w:t>
            </w:r>
          </w:p>
        </w:tc>
        <w:tc>
          <w:tcPr>
            <w:tcW w:type="dxa" w:w="426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Switch demo city. The compiler is city-agnostic; only the AOI and the HAP change.</w:t>
            </w:r>
          </w:p>
        </w:tc>
      </w:tr>
      <w:tr>
        <w:tc>
          <w:tcPr>
            <w:tcW w:type="dxa" w:w="5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2</w:t>
            </w:r>
          </w:p>
        </w:tc>
        <w:tc>
          <w:tcPr>
            <w:tcW w:type="dxa" w:w="46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Can we obtain the actual published Sindh / Karachi Heat Action Plan in a usable form?</w:t>
            </w:r>
          </w:p>
        </w:tc>
        <w:tc>
          <w:tcPr>
            <w:tcW w:type="dxa" w:w="426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Fall back to Ahmedabad’s plan — India’s first, extensively published and studied, which also makes it easier for judges to verify our compilation is faithful.</w:t>
            </w:r>
          </w:p>
        </w:tc>
      </w:tr>
      <w:tr>
        <w:tc>
          <w:tcPr>
            <w:tcW w:type="dxa" w:w="5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3</w:t>
            </w:r>
          </w:p>
        </w:tc>
        <w:tc>
          <w:tcPr>
            <w:tcW w:type="dxa" w:w="46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What tier is the hackathon API key, and how many credits?</w:t>
            </w:r>
          </w:p>
        </w:tc>
        <w:tc>
          <w:tcPr>
            <w:tcW w:type="dxa" w:w="426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Drop the Premium segmentation layer; core architecture is unaffected.</w:t>
            </w:r>
          </w:p>
        </w:tc>
      </w:tr>
      <w:tr>
        <w:tc>
          <w:tcPr>
            <w:tcW w:type="dxa" w:w="5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4</w:t>
            </w:r>
          </w:p>
        </w:tc>
        <w:tc>
          <w:tcPr>
            <w:tcW w:type="dxa" w:w="46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Do the env_params responses actually contain wet-bulb and apparent temperature, under what field names?</w:t>
            </w:r>
          </w:p>
        </w:tc>
        <w:tc>
          <w:tcPr>
            <w:tcW w:type="dxa" w:w="426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Fall back to dry-bulb clauses only; the divergence finding survives, the humidity argument is dropped.</w:t>
            </w:r>
          </w:p>
        </w:tc>
      </w:tr>
      <w:tr>
        <w:tc>
          <w:tcPr>
            <w:tcW w:type="dxa" w:w="5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5</w:t>
            </w:r>
          </w:p>
        </w:tc>
        <w:tc>
          <w:tcPr>
            <w:tcW w:type="dxa" w:w="46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Which historical dates have coverage? We need a real heat event inside the available range.</w:t>
            </w:r>
          </w:p>
        </w:tc>
        <w:tc>
          <w:tcPr>
            <w:tcW w:type="dxa" w:w="426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Choose the best-covered severe window available and state the selection criterion openly.</w:t>
            </w:r>
          </w:p>
        </w:tc>
      </w:tr>
    </w:tbl>
    <w:p>
      <w:pPr>
        <w:pStyle w:val="Heading1"/>
        <w:spacing w:after="160" w:before="360"/>
      </w:pPr>
      <w:r>
        <w:rPr>
          <w:rFonts w:ascii="Calibri" w:cs="Calibri" w:eastAsia="Calibri" w:hAnsi="Calibri"/>
          <w:b/>
          <w:bCs/>
          <w:color w:val="B03A2E"/>
          <w:sz w:val="30"/>
          <w:szCs w:val="30"/>
        </w:rPr>
        <w:t xml:space="preserve">11. Ten-day plan</w:t>
      </w:r>
    </w:p>
    <w:p>
      <w:pPr>
        <w:spacing w:after="120" w:before="0" w:line="276"/>
      </w:pPr>
      <w:r>
        <w:rPr>
          <w:rFonts w:ascii="Calibri" w:cs="Calibri" w:eastAsia="Calibri" w:hAnsi="Calibri"/>
          <w:color w:val="1B2631"/>
          <w:sz w:val="21"/>
          <w:szCs w:val="21"/>
        </w:rPr>
        <w:t xml:space="preserve">Today is 20 August. Submission closes 30 August at 11:59 PM GST.</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4400"/>
        <w:gridCol w:w="3560"/>
      </w:tblGrid>
      <w:tr>
        <w:trPr>
          <w:tblHeader/>
        </w:trPr>
        <w:tc>
          <w:tcPr>
            <w:tcW w:type="dxa" w:w="500"/>
            <w:shd w:fill="1B2631"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Day</w:t>
            </w:r>
          </w:p>
        </w:tc>
        <w:tc>
          <w:tcPr>
            <w:tcW w:type="dxa" w:w="900"/>
            <w:shd w:fill="1B2631"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Date</w:t>
            </w:r>
          </w:p>
        </w:tc>
        <w:tc>
          <w:tcPr>
            <w:tcW w:type="dxa" w:w="4400"/>
            <w:shd w:fill="1B2631"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Objective</w:t>
            </w:r>
          </w:p>
        </w:tc>
        <w:tc>
          <w:tcPr>
            <w:tcW w:type="dxa" w:w="3560"/>
            <w:shd w:fill="1B2631"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Done means</w:t>
            </w:r>
          </w:p>
        </w:tc>
      </w:tr>
      <w:tr>
        <w:tc>
          <w:tcPr>
            <w:tcW w:type="dxa" w:w="5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1</w:t>
            </w:r>
          </w:p>
        </w:tc>
        <w:tc>
          <w:tcPr>
            <w:tcW w:type="dxa" w:w="9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20 Aug</w:t>
            </w:r>
          </w:p>
        </w:tc>
        <w:tc>
          <w:tcPr>
            <w:tcW w:type="dxa" w:w="44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Clear all five blockers. Repo from the official quickstart template. Attend both mentor sessions (6:00 and 7:30 PM PKT).</w:t>
            </w:r>
          </w:p>
        </w:tc>
        <w:tc>
          <w:tcPr>
            <w:tcW w:type="dxa" w:w="356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A Karachi tile response saved to disk and a HAP PDF in the repo</w:t>
            </w:r>
          </w:p>
        </w:tc>
      </w:tr>
      <w:tr>
        <w:tc>
          <w:tcPr>
            <w:tcW w:type="dxa" w:w="5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2</w:t>
            </w:r>
          </w:p>
        </w:tc>
        <w:tc>
          <w:tcPr>
            <w:tcW w:type="dxa" w:w="9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21 Aug</w:t>
            </w:r>
          </w:p>
        </w:tc>
        <w:tc>
          <w:tcPr>
            <w:tcW w:type="dxa" w:w="44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Lock the clause schema. Hand-compile 12–15 clauses as the golden set.</w:t>
            </w:r>
          </w:p>
        </w:tc>
        <w:tc>
          <w:tcPr>
            <w:tcW w:type="dxa" w:w="356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Golden set committed; schema frozen</w:t>
            </w:r>
          </w:p>
        </w:tc>
      </w:tr>
      <w:tr>
        <w:tc>
          <w:tcPr>
            <w:tcW w:type="dxa" w:w="5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3</w:t>
            </w:r>
          </w:p>
        </w:tc>
        <w:tc>
          <w:tcPr>
            <w:tcW w:type="dxa" w:w="9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22 Aug</w:t>
            </w:r>
          </w:p>
        </w:tc>
        <w:tc>
          <w:tcPr>
            <w:tcW w:type="dxa" w:w="44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Clause Compiler v1. Score it against the golden set.</w:t>
            </w:r>
          </w:p>
        </w:tc>
        <w:tc>
          <w:tcPr>
            <w:tcW w:type="dxa" w:w="356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Reported precision and recall</w:t>
            </w:r>
          </w:p>
        </w:tc>
      </w:tr>
      <w:tr>
        <w:tc>
          <w:tcPr>
            <w:tcW w:type="dxa" w:w="5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4</w:t>
            </w:r>
          </w:p>
        </w:tc>
        <w:tc>
          <w:tcPr>
            <w:tcW w:type="dxa" w:w="9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23 Aug</w:t>
            </w:r>
          </w:p>
        </w:tc>
        <w:tc>
          <w:tcPr>
            <w:tcW w:type="dxa" w:w="44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Thermal Evaluator: exceedance and persistence calls, tile-to-zone aggregation, caching layer.</w:t>
            </w:r>
          </w:p>
        </w:tc>
        <w:tc>
          <w:tcPr>
            <w:tcW w:type="dxa" w:w="356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Any clause evaluates to FIRED / NOT FIRED per zone</w:t>
            </w:r>
          </w:p>
        </w:tc>
      </w:tr>
      <w:tr>
        <w:tc>
          <w:tcPr>
            <w:tcW w:type="dxa" w:w="5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5</w:t>
            </w:r>
          </w:p>
        </w:tc>
        <w:tc>
          <w:tcPr>
            <w:tcW w:type="dxa" w:w="9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24 Aug</w:t>
            </w:r>
          </w:p>
        </w:tc>
        <w:tc>
          <w:tcPr>
            <w:tcW w:type="dxa" w:w="44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Divergence engine and the three metrics.</w:t>
            </w:r>
          </w:p>
        </w:tc>
        <w:tc>
          <w:tcPr>
            <w:tcW w:type="dxa" w:w="356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THE NUMBER EXISTS. Hard gate.</w:t>
            </w:r>
          </w:p>
        </w:tc>
      </w:tr>
      <w:tr>
        <w:tc>
          <w:tcPr>
            <w:tcW w:type="dxa" w:w="5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6</w:t>
            </w:r>
          </w:p>
        </w:tc>
        <w:tc>
          <w:tcPr>
            <w:tcW w:type="dxa" w:w="9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25 Aug</w:t>
            </w:r>
          </w:p>
        </w:tc>
        <w:tc>
          <w:tcPr>
            <w:tcW w:type="dxa" w:w="44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Counterfactual engine. Attend the 7:00 PM PKT session.</w:t>
            </w:r>
          </w:p>
        </w:tc>
        <w:tc>
          <w:tcPr>
            <w:tcW w:type="dxa" w:w="356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One counterfactual visibly changes a recommendation</w:t>
            </w:r>
          </w:p>
        </w:tc>
      </w:tr>
      <w:tr>
        <w:tc>
          <w:tcPr>
            <w:tcW w:type="dxa" w:w="5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7</w:t>
            </w:r>
          </w:p>
        </w:tc>
        <w:tc>
          <w:tcPr>
            <w:tcW w:type="dxa" w:w="9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26 Aug</w:t>
            </w:r>
          </w:p>
        </w:tc>
        <w:tc>
          <w:tcPr>
            <w:tcW w:type="dxa" w:w="44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Interface: map, clause table, divergence panel.</w:t>
            </w:r>
          </w:p>
        </w:tc>
        <w:tc>
          <w:tcPr>
            <w:tcW w:type="dxa" w:w="356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Clickable end-to-end demo path</w:t>
            </w:r>
          </w:p>
        </w:tc>
      </w:tr>
      <w:tr>
        <w:tc>
          <w:tcPr>
            <w:tcW w:type="dxa" w:w="5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8</w:t>
            </w:r>
          </w:p>
        </w:tc>
        <w:tc>
          <w:tcPr>
            <w:tcW w:type="dxa" w:w="9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27 Aug</w:t>
            </w:r>
          </w:p>
        </w:tc>
        <w:tc>
          <w:tcPr>
            <w:tcW w:type="dxa" w:w="44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Action brief generation, provenance UI, offline cached mode.</w:t>
            </w:r>
          </w:p>
        </w:tc>
        <w:tc>
          <w:tcPr>
            <w:tcW w:type="dxa" w:w="356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Clean clone runs with no API key</w:t>
            </w:r>
          </w:p>
        </w:tc>
      </w:tr>
      <w:tr>
        <w:tc>
          <w:tcPr>
            <w:tcW w:type="dxa" w:w="5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9</w:t>
            </w:r>
          </w:p>
        </w:tc>
        <w:tc>
          <w:tcPr>
            <w:tcW w:type="dxa" w:w="9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28 Aug</w:t>
            </w:r>
          </w:p>
        </w:tc>
        <w:tc>
          <w:tcPr>
            <w:tcW w:type="dxa" w:w="44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Validation, limitations section, README mapped to the rubric. MCP wrapper if time allows.</w:t>
            </w:r>
          </w:p>
        </w:tc>
        <w:tc>
          <w:tcPr>
            <w:tcW w:type="dxa" w:w="356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README complete</w:t>
            </w:r>
          </w:p>
        </w:tc>
      </w:tr>
      <w:tr>
        <w:tc>
          <w:tcPr>
            <w:tcW w:type="dxa" w:w="5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10</w:t>
            </w:r>
          </w:p>
        </w:tc>
        <w:tc>
          <w:tcPr>
            <w:tcW w:type="dxa" w:w="9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29 Aug</w:t>
            </w:r>
          </w:p>
        </w:tc>
        <w:tc>
          <w:tcPr>
            <w:tcW w:type="dxa" w:w="440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Video. Rehearse three times, record on the fourth.</w:t>
            </w:r>
          </w:p>
        </w:tc>
        <w:tc>
          <w:tcPr>
            <w:tcW w:type="dxa" w:w="3560"/>
            <w:shd w:fill="FFFFFF"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Video under three minutes</w:t>
            </w:r>
          </w:p>
        </w:tc>
      </w:tr>
      <w:tr>
        <w:tc>
          <w:tcPr>
            <w:tcW w:type="dxa" w:w="5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w:t>
            </w:r>
          </w:p>
        </w:tc>
        <w:tc>
          <w:tcPr>
            <w:tcW w:type="dxa" w:w="9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30 Aug</w:t>
            </w:r>
          </w:p>
        </w:tc>
        <w:tc>
          <w:tcPr>
            <w:tcW w:type="dxa" w:w="440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Submit in the morning. Do not touch a 12:59 AM deadline.</w:t>
            </w:r>
          </w:p>
        </w:tc>
        <w:tc>
          <w:tcPr>
            <w:tcW w:type="dxa" w:w="3560"/>
            <w:shd w:fill="F4F6F7" w:val="clear"/>
            <w:tcMar>
              <w:top w:type="dxa" w:w="80"/>
              <w:left w:type="dxa" w:w="120"/>
              <w:bottom w:type="dxa" w:w="80"/>
              <w:right w:type="dxa" w:w="120"/>
            </w:tcMar>
          </w:tcPr>
          <w:p>
            <w:pPr>
              <w:spacing w:after="0" w:line="260"/>
            </w:pPr>
            <w:r>
              <w:rPr>
                <w:rFonts w:ascii="Calibri" w:cs="Calibri" w:eastAsia="Calibri" w:hAnsi="Calibri"/>
                <w:color w:val="1B2631"/>
                <w:sz w:val="19"/>
                <w:szCs w:val="19"/>
              </w:rPr>
              <w:t xml:space="preserve">Submitted</w:t>
            </w:r>
          </w:p>
        </w:tc>
      </w:tr>
    </w:tbl>
    <w:p>
      <w:pPr>
        <w:pStyle w:val="Heading1"/>
        <w:spacing w:after="160" w:before="360"/>
      </w:pPr>
      <w:r>
        <w:rPr>
          <w:rFonts w:ascii="Calibri" w:cs="Calibri" w:eastAsia="Calibri" w:hAnsi="Calibri"/>
          <w:b/>
          <w:bCs/>
          <w:color w:val="B03A2E"/>
          <w:sz w:val="30"/>
          <w:szCs w:val="30"/>
        </w:rPr>
        <w:t xml:space="preserve">12. Deliverables</w:t>
      </w:r>
    </w:p>
    <w:p>
      <w:pPr>
        <w:pStyle w:val="ListParagraph"/>
        <w:numPr>
          <w:ilvl w:val="0"/>
          <w:numId w:val="2"/>
        </w:numPr>
        <w:spacing w:after="80" w:line="276"/>
      </w:pPr>
      <w:r>
        <w:rPr>
          <w:rFonts w:ascii="Calibri" w:cs="Calibri" w:eastAsia="Calibri" w:hAnsi="Calibri"/>
          <w:color w:val="1B2631"/>
          <w:sz w:val="21"/>
          <w:szCs w:val="21"/>
        </w:rPr>
        <w:t xml:space="preserve">Live deployed demo that runs in cached mode without an API key.</w:t>
      </w:r>
    </w:p>
    <w:p>
      <w:pPr>
        <w:pStyle w:val="ListParagraph"/>
        <w:numPr>
          <w:ilvl w:val="0"/>
          <w:numId w:val="2"/>
        </w:numPr>
        <w:spacing w:after="80" w:line="276"/>
      </w:pPr>
      <w:r>
        <w:rPr>
          <w:rFonts w:ascii="Calibri" w:cs="Calibri" w:eastAsia="Calibri" w:hAnsi="Calibri"/>
          <w:color w:val="1B2631"/>
          <w:sz w:val="21"/>
          <w:szCs w:val="21"/>
        </w:rPr>
        <w:t xml:space="preserve">Public repository, built from the official FortyGuard quickstart template, with a README structured against the four judging criteria and their weights.</w:t>
      </w:r>
    </w:p>
    <w:p>
      <w:pPr>
        <w:pStyle w:val="ListParagraph"/>
        <w:numPr>
          <w:ilvl w:val="0"/>
          <w:numId w:val="2"/>
        </w:numPr>
        <w:spacing w:after="80" w:line="276"/>
      </w:pPr>
      <w:r>
        <w:rPr>
          <w:rFonts w:ascii="Calibri" w:cs="Calibri" w:eastAsia="Calibri" w:hAnsi="Calibri"/>
          <w:color w:val="1B2631"/>
          <w:sz w:val="21"/>
          <w:szCs w:val="21"/>
        </w:rPr>
        <w:t xml:space="preserve">Video, two to three minutes: the problem, the compilation, the number, the counterfactual.</w:t>
      </w:r>
    </w:p>
    <w:p>
      <w:pPr>
        <w:pStyle w:val="ListParagraph"/>
        <w:numPr>
          <w:ilvl w:val="0"/>
          <w:numId w:val="2"/>
        </w:numPr>
        <w:spacing w:after="80" w:line="276"/>
      </w:pPr>
      <w:r>
        <w:rPr>
          <w:rFonts w:ascii="Calibri" w:cs="Calibri" w:eastAsia="Calibri" w:hAnsi="Calibri"/>
          <w:color w:val="1B2631"/>
          <w:sz w:val="21"/>
          <w:szCs w:val="21"/>
        </w:rPr>
        <w:t xml:space="preserve">A short Trigger Divergence report — the finding written up as a standalone two-page result with method, caveats and limitations. This is the artefact that distinguishes a research submission from a demo, and it costs almost nothing once the number exists.</w:t>
      </w:r>
    </w:p>
    <w:p>
      <w:pPr>
        <w:pStyle w:val="ListParagraph"/>
        <w:numPr>
          <w:ilvl w:val="0"/>
          <w:numId w:val="2"/>
        </w:numPr>
        <w:spacing w:after="80" w:line="276"/>
      </w:pPr>
      <w:r>
        <w:rPr>
          <w:rFonts w:ascii="Calibri" w:cs="Calibri" w:eastAsia="Calibri" w:hAnsi="Calibri"/>
          <w:color w:val="1B2631"/>
          <w:sz w:val="21"/>
          <w:szCs w:val="21"/>
        </w:rPr>
        <w:t xml:space="preserve">Optional: an MCP server exposing the compiler and evaluator as tools, which claims Track 06 credibility cheaply without competing there.</w:t>
      </w:r>
    </w:p>
    <w:p>
      <w:pPr>
        <w:pStyle w:val="Heading1"/>
        <w:spacing w:after="160" w:before="360"/>
      </w:pPr>
      <w:r>
        <w:rPr>
          <w:rFonts w:ascii="Calibri" w:cs="Calibri" w:eastAsia="Calibri" w:hAnsi="Calibri"/>
          <w:b/>
          <w:bCs/>
          <w:color w:val="B03A2E"/>
          <w:sz w:val="30"/>
          <w:szCs w:val="30"/>
        </w:rPr>
        <w:t xml:space="preserve">13. Success criteria</w:t>
      </w:r>
    </w:p>
    <w:p>
      <w:pPr>
        <w:spacing w:after="120" w:before="0" w:line="276"/>
      </w:pPr>
      <w:r>
        <w:rPr>
          <w:rFonts w:ascii="Calibri" w:cs="Calibri" w:eastAsia="Calibri" w:hAnsi="Calibri"/>
          <w:color w:val="1B2631"/>
          <w:sz w:val="21"/>
          <w:szCs w:val="21"/>
        </w:rPr>
        <w:t xml:space="preserve">Carried forward from v1 with two additions and one hardened.</w:t>
      </w:r>
    </w:p>
    <w:p>
      <w:pPr>
        <w:pStyle w:val="ListParagraph"/>
        <w:numPr>
          <w:ilvl w:val="0"/>
          <w:numId w:val="3"/>
        </w:numPr>
        <w:spacing w:after="80" w:line="276"/>
      </w:pPr>
      <w:r>
        <w:rPr>
          <w:rFonts w:ascii="Calibri" w:cs="Calibri" w:eastAsia="Calibri" w:hAnsi="Calibri"/>
          <w:color w:val="1B2631"/>
          <w:sz w:val="21"/>
          <w:szCs w:val="21"/>
        </w:rPr>
        <w:t xml:space="preserve">FortyGuard is indispensable — the evaluation is impossible without exceedance and persistence at 2 m, not merely degraded.</w:t>
      </w:r>
    </w:p>
    <w:p>
      <w:pPr>
        <w:pStyle w:val="ListParagraph"/>
        <w:numPr>
          <w:ilvl w:val="0"/>
          <w:numId w:val="3"/>
        </w:numPr>
        <w:spacing w:after="80" w:line="276"/>
      </w:pPr>
      <w:r>
        <w:rPr>
          <w:rFonts w:ascii="Calibri" w:cs="Calibri" w:eastAsia="Calibri" w:hAnsi="Calibri"/>
          <w:color w:val="1B2631"/>
          <w:sz w:val="21"/>
          <w:szCs w:val="21"/>
        </w:rPr>
        <w:t xml:space="preserve">At least three distinct FortyGuard capabilities are used inside one run, each because a clause required it, not for display.</w:t>
      </w:r>
    </w:p>
    <w:p>
      <w:pPr>
        <w:pStyle w:val="ListParagraph"/>
        <w:numPr>
          <w:ilvl w:val="0"/>
          <w:numId w:val="3"/>
        </w:numPr>
        <w:spacing w:after="80" w:line="276"/>
      </w:pPr>
      <w:r>
        <w:rPr>
          <w:rFonts w:ascii="Calibri" w:cs="Calibri" w:eastAsia="Calibri" w:hAnsi="Calibri"/>
          <w:color w:val="1B2631"/>
          <w:sz w:val="21"/>
          <w:szCs w:val="21"/>
        </w:rPr>
        <w:t xml:space="preserve">Every recommendation traces to a clause, a page and a verbatim sentence.</w:t>
      </w:r>
    </w:p>
    <w:p>
      <w:pPr>
        <w:pStyle w:val="ListParagraph"/>
        <w:numPr>
          <w:ilvl w:val="0"/>
          <w:numId w:val="3"/>
        </w:numPr>
        <w:spacing w:after="80" w:line="276"/>
      </w:pPr>
      <w:r>
        <w:rPr>
          <w:rFonts w:ascii="Calibri" w:cs="Calibri" w:eastAsia="Calibri" w:hAnsi="Calibri"/>
          <w:color w:val="1B2631"/>
          <w:sz w:val="21"/>
          <w:szCs w:val="21"/>
        </w:rPr>
        <w:t xml:space="preserve">A counterfactual visibly changes the recommendation, proving planning rather than reporting.</w:t>
      </w:r>
    </w:p>
    <w:p>
      <w:pPr>
        <w:pStyle w:val="ListParagraph"/>
        <w:numPr>
          <w:ilvl w:val="0"/>
          <w:numId w:val="3"/>
        </w:numPr>
        <w:spacing w:after="80" w:line="276"/>
      </w:pPr>
      <w:r>
        <w:rPr>
          <w:rFonts w:ascii="Calibri" w:cs="Calibri" w:eastAsia="Calibri" w:hAnsi="Calibri"/>
          <w:color w:val="1B2631"/>
          <w:sz w:val="21"/>
          <w:szCs w:val="21"/>
        </w:rPr>
        <w:t xml:space="preserve">The demo ends in a decision a named officer could act on, not a visualisation.</w:t>
      </w:r>
    </w:p>
    <w:p>
      <w:pPr>
        <w:pStyle w:val="ListParagraph"/>
        <w:numPr>
          <w:ilvl w:val="0"/>
          <w:numId w:val="3"/>
        </w:numPr>
        <w:spacing w:after="80" w:line="276"/>
      </w:pPr>
      <w:r>
        <w:rPr>
          <w:rFonts w:ascii="Calibri" w:cs="Calibri" w:eastAsia="Calibri" w:hAnsi="Calibri"/>
          <w:color w:val="1B2631"/>
          <w:sz w:val="21"/>
          <w:szCs w:val="21"/>
        </w:rPr>
        <w:t xml:space="preserve">NEW — The compiler’s extraction accuracy is measured and reported, not asserted.</w:t>
      </w:r>
    </w:p>
    <w:p>
      <w:pPr>
        <w:pStyle w:val="ListParagraph"/>
        <w:numPr>
          <w:ilvl w:val="0"/>
          <w:numId w:val="3"/>
        </w:numPr>
        <w:spacing w:after="80" w:line="276"/>
      </w:pPr>
      <w:r>
        <w:rPr>
          <w:rFonts w:ascii="Calibri" w:cs="Calibri" w:eastAsia="Calibri" w:hAnsi="Calibri"/>
          <w:color w:val="1B2631"/>
          <w:sz w:val="21"/>
          <w:szCs w:val="21"/>
        </w:rPr>
        <w:t xml:space="preserve">NEW — A single quantified divergence figure appears in the first thirty seconds of the video.</w:t>
      </w:r>
    </w:p>
    <w:p>
      <w:pPr>
        <w:pStyle w:val="ListParagraph"/>
        <w:numPr>
          <w:ilvl w:val="0"/>
          <w:numId w:val="3"/>
        </w:numPr>
        <w:spacing w:after="80" w:line="276"/>
      </w:pPr>
      <w:r>
        <w:rPr>
          <w:rFonts w:ascii="Calibri" w:cs="Calibri" w:eastAsia="Calibri" w:hAnsi="Calibri"/>
          <w:color w:val="1B2631"/>
          <w:sz w:val="21"/>
          <w:szCs w:val="21"/>
        </w:rPr>
        <w:t xml:space="preserve">HARDENED — A judge can clone the repository and reproduce the headline number offline with one command.</w:t>
      </w:r>
    </w:p>
    <w:p>
      <w:pPr>
        <w:pStyle w:val="Heading1"/>
        <w:spacing w:after="160" w:before="360"/>
      </w:pPr>
      <w:r>
        <w:rPr>
          <w:rFonts w:ascii="Calibri" w:cs="Calibri" w:eastAsia="Calibri" w:hAnsi="Calibri"/>
          <w:b/>
          <w:bCs/>
          <w:color w:val="B03A2E"/>
          <w:sz w:val="30"/>
          <w:szCs w:val="30"/>
        </w:rPr>
        <w:t xml:space="preserve">14. One-sentence positioning</w:t>
      </w:r>
    </w:p>
    <w:p>
      <w:pPr>
        <w:spacing w:after="120" w:before="0" w:line="276"/>
        <w:jc w:val="left"/>
      </w:pPr>
      <w:r>
        <w:rPr>
          <w:rFonts w:ascii="Calibri" w:cs="Calibri" w:eastAsia="Calibri" w:hAnsi="Calibri"/>
          <w:b/>
          <w:bCs/>
          <w:color w:val="1B2631"/>
          <w:sz w:val="23"/>
          <w:szCs w:val="23"/>
        </w:rPr>
        <w:t xml:space="preserve">“Every city with a Heat Action Plan is enforcing it with a thermometer at the airport. TRIGGER compiles the plan into executable rules, re-runs it on FortyGuard’s 2-metre data, and shows exactly which neighbourhoods the law was written to protect and the sensor quietly left out.”</w:t>
      </w:r>
    </w:p>
    <w:p>
      <w:pPr>
        <w:spacing w:after="200"/>
      </w:pPr>
      <w:r>
        <w:rPr>
          <w:sz w:val="2"/>
          <w:szCs w:val="2"/>
        </w:rPr>
        <w:t xml:space="preserve"/>
      </w:r>
    </w:p>
    <w:p>
      <w:pPr>
        <w:pBdr>
          <w:bottom w:val="single" w:color="D5D8DC" w:sz="6" w:space="2"/>
        </w:pBdr>
        <w:spacing w:after="160" w:before="80"/>
      </w:pPr>
      <w:r>
        <w:rPr>
          <w:sz w:val="2"/>
          <w:szCs w:val="2"/>
        </w:rPr>
        <w:t xml:space="preserve"/>
      </w:r>
    </w:p>
    <w:p>
      <w:pPr>
        <w:spacing w:after="120" w:before="0" w:line="276"/>
      </w:pPr>
      <w:r>
        <w:rPr>
          <w:rFonts w:ascii="Calibri" w:cs="Calibri" w:eastAsia="Calibri" w:hAnsi="Calibri"/>
          <w:b/>
          <w:bCs/>
          <w:color w:val="5D6D7E"/>
          <w:sz w:val="19"/>
          <w:szCs w:val="19"/>
        </w:rPr>
        <w:t xml:space="preserve">Naming note: </w:t>
      </w:r>
      <w:r>
        <w:rPr>
          <w:rFonts w:ascii="Calibri" w:cs="Calibri" w:eastAsia="Calibri" w:hAnsi="Calibri"/>
          <w:color w:val="5D6D7E"/>
          <w:sz w:val="19"/>
          <w:szCs w:val="19"/>
        </w:rPr>
        <w:t xml:space="preserve">“Thermal Mission Control” can be retained as the platform name with TRIGGER as the engine, if the team prefers continuity with v1. The argument for renaming is that “Mission Control” pattern-matches to the dashboards and command centres that dominate the field, while “Heat Action Plan Compiler” states the one thing nobody else is doing.</w:t>
      </w:r>
    </w:p>
    <w:sectPr>
      <w:footerReference w:type="default" r:id="rId7"/>
      <w:pgSz w:w="12240" w:h="15840"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D6D7E"/>
        <w:sz w:val="16"/>
        <w:szCs w:val="16"/>
      </w:rPr>
      <w:t xml:space="preserve">TRIGGER · Product Vision v2 · page </w:t>
    </w:r>
    <w:r>
      <w:rPr>
        <w:rFonts w:ascii="Calibri" w:cs="Calibri" w:eastAsia="Calibri" w:hAnsi="Calibri"/>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TRIGGER — The Heat Action Plan Compiler</dc:title>
  <dc:creator>Hackathon team</dc:creator>
  <dc:description>FortyGuard Hackathon ’26 product vision v2</dc:description>
  <cp:lastModifiedBy>Un-named</cp:lastModifiedBy>
  <cp:revision>1</cp:revision>
  <dcterms:created xsi:type="dcterms:W3CDTF">2026-08-19T19:53:27.835Z</dcterms:created>
  <dcterms:modified xsi:type="dcterms:W3CDTF">2026-08-19T19:53:27.847Z</dcterms:modified>
</cp:coreProperties>
</file>

<file path=docProps/custom.xml><?xml version="1.0" encoding="utf-8"?>
<Properties xmlns="http://schemas.openxmlformats.org/officeDocument/2006/custom-properties" xmlns:vt="http://schemas.openxmlformats.org/officeDocument/2006/docPropsVTypes"/>
</file>