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40.16</w:t>
            </w:r>
          </w:p>
        </w:tc>
        <w:tc>
          <w:tcPr>
            <w:tcW w:type="dxa" w:w="2127"/>
          </w:tcPr>
          <w:p>
            <w:r>
              <w:t>Mengubah status aktif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40.17</w:t>
            </w:r>
          </w:p>
        </w:tc>
        <w:tc>
          <w:tcPr>
            <w:tcW w:type="dxa" w:w="2127"/>
          </w:tcPr>
          <w:p>
            <w:r>
              <w:t>Mengubah status aktif Personnel secara bulk</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