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Pipeline Category</w:t>
            </w:r>
          </w:p>
        </w:tc>
        <w:tc>
          <w:tcPr>
            <w:tcW w:w="2833" w:type="dxa"/>
            <w:vAlign w:val="center"/>
          </w:tcPr>
          <w:p>
            <w:pPr>
              <w:pStyle w:val="TableParagraph"/>
              <w:jc w:val="center"/>
            </w:pPr>
            <w:r>
              <w:t>Berhasil Menampilkan halaman detail Validate pipeline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target growth</w:t>
            </w:r>
          </w:p>
        </w:tc>
        <w:tc>
          <w:tcPr>
            <w:tcW w:w="2833" w:type="dxa"/>
            <w:vAlign w:val="center"/>
          </w:tcPr>
          <w:p>
            <w:pPr>
              <w:pStyle w:val="TableParagraph"/>
              <w:jc w:val="center"/>
            </w:pPr>
            <w:r>
              <w:t>Berhasil Menampilkan halaman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