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Yes pada popup konfirmasi</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 Program Produk</w:t>
            </w:r>
          </w:p>
        </w:tc>
        <w:tc>
          <w:tcPr>
            <w:tcW w:w="2551" w:type="dxa"/>
            <w:tcBorders>
              <w:bottom w:val="single" w:sz="4" w:space="0" w:color="auto"/>
            </w:tcBorders>
            <w:vAlign w:val="center"/>
          </w:tcPr>
          <w:p>
            <w:r>
              <w:t>Validasi data excel dengan tabel di web</w:t>
            </w:r>
          </w:p>
        </w:tc>
        <w:tc>
          <w:tcPr>
            <w:tcW w:w="2833" w:type="dxa"/>
            <w:vAlign w:val="center"/>
          </w:tcPr>
          <w:p>
            <w:r>
              <w:t>Data pada excel sesuai dengan tabel di web.</w:t>
            </w:r>
          </w:p>
        </w:tc>
        <w:tc>
          <w:tcPr>
            <w:tcW w:w="2833" w:type="dxa"/>
            <w:vAlign w:val="center"/>
          </w:tcPr>
          <w:p>
            <w:r>
              <w:t>Data pada excel sesuai dengan tabel di web.</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