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CASE STUDY 07</w:t>
      </w:r>
    </w:p>
    <w:p>
      <w:pPr>
        <w:pStyle w:val="Title"/>
        <w:jc w:val="center"/>
      </w:pPr>
      <w:r>
        <w:t>Comparative Study of Popular No-Code and Low-Code Application Development Platforms</w:t>
      </w:r>
    </w:p>
    <w:p>
      <w:pPr>
        <w:jc w:val="center"/>
      </w:pPr>
      <w:r>
        <w:rPr>
          <w:i/>
        </w:rPr>
        <w:t>Sample application: Equipment Request Tracking App</w:t>
      </w:r>
    </w:p>
    <w:p>
      <w:pPr>
        <w:pStyle w:val="Heading1"/>
      </w:pPr>
      <w:r>
        <w:t>1. Aim</w:t>
      </w:r>
    </w:p>
    <w:p>
      <w:r>
        <w:t>To compare no-code and low-code platforms for building a simple business application.</w:t>
      </w:r>
    </w:p>
    <w:p>
      <w:pPr>
        <w:pStyle w:val="Heading1"/>
      </w:pPr>
      <w:r>
        <w:t>2. Objectives</w:t>
      </w:r>
    </w:p>
    <w:p>
      <w:pPr>
        <w:pStyle w:val="ListBullet"/>
      </w:pPr>
      <w:r>
        <w:t>Explain no-code and low-code development.</w:t>
      </w:r>
    </w:p>
    <w:p>
      <w:pPr>
        <w:pStyle w:val="ListBullet"/>
      </w:pPr>
      <w:r>
        <w:t>Define criteria for comparing platforms.</w:t>
      </w:r>
    </w:p>
    <w:p>
      <w:pPr>
        <w:pStyle w:val="ListBullet"/>
      </w:pPr>
      <w:r>
        <w:t>Compare common platform categories and example products.</w:t>
      </w:r>
    </w:p>
    <w:p>
      <w:pPr>
        <w:pStyle w:val="ListBullet"/>
      </w:pPr>
      <w:r>
        <w:t>Recommend a platform-selection process.</w:t>
      </w:r>
    </w:p>
    <w:p>
      <w:pPr>
        <w:pStyle w:val="Heading1"/>
      </w:pPr>
      <w:r>
        <w:t>3. Selected Application and Overview</w:t>
      </w:r>
    </w:p>
    <w:p>
      <w:r>
        <w:t>A department needs an equipment request app where staff submit requests, managers approve them and administrators track status. Candidate platforms may include Zoho Creator, Microsoft Power Apps, Google AppSheet and Salesforce Platform. Product features and licensing vary by plan and region.</w:t>
      </w:r>
    </w:p>
    <w:p>
      <w:pPr>
        <w:pStyle w:val="Heading1"/>
      </w:pPr>
      <w:r>
        <w:t>4. Requirements and Scope</w:t>
      </w:r>
    </w:p>
    <w:tbl>
      <w:tblPr>
        <w:tblStyle w:val="LightShading-Accent1"/>
        <w:tblW w:type="auto" w:w="0"/>
        <w:tblLook w:firstColumn="1" w:firstRow="1" w:lastColumn="0" w:lastRow="0" w:noHBand="0" w:noVBand="1" w:val="04A0"/>
      </w:tblPr>
      <w:tblGrid>
        <w:gridCol w:w="4968"/>
        <w:gridCol w:w="4968"/>
      </w:tblGrid>
      <w:tr>
        <w:tc>
          <w:tcPr>
            <w:tcW w:type="dxa" w:w="4968"/>
          </w:tcPr>
          <w:p>
            <w:r>
              <w:t>Core features</w:t>
            </w:r>
          </w:p>
        </w:tc>
        <w:tc>
          <w:tcPr>
            <w:tcW w:type="dxa" w:w="4968"/>
          </w:tcPr>
          <w:p>
            <w:r>
              <w:t>Request form, data storage, approval workflow, status report and role-based access.</w:t>
            </w:r>
          </w:p>
        </w:tc>
      </w:tr>
      <w:tr>
        <w:tc>
          <w:tcPr>
            <w:tcW w:type="dxa" w:w="4968"/>
          </w:tcPr>
          <w:p>
            <w:r>
              <w:t>Evaluation criteria</w:t>
            </w:r>
          </w:p>
        </w:tc>
        <w:tc>
          <w:tcPr>
            <w:tcW w:type="dxa" w:w="4968"/>
          </w:tcPr>
          <w:p>
            <w:r>
              <w:t>Ease of use, integration, workflow support, customization, security, portability, collaboration and total cost.</w:t>
            </w:r>
          </w:p>
        </w:tc>
      </w:tr>
      <w:tr>
        <w:tc>
          <w:tcPr>
            <w:tcW w:type="dxa" w:w="4968"/>
          </w:tcPr>
          <w:p>
            <w:r>
              <w:t>Users</w:t>
            </w:r>
          </w:p>
        </w:tc>
        <w:tc>
          <w:tcPr>
            <w:tcW w:type="dxa" w:w="4968"/>
          </w:tcPr>
          <w:p>
            <w:r>
              <w:t>Staff submit requests; managers approve or reject; administrators manage configuration and reporting.</w:t>
            </w:r>
          </w:p>
        </w:tc>
      </w:tr>
      <w:tr>
        <w:tc>
          <w:tcPr>
            <w:tcW w:type="dxa" w:w="4968"/>
          </w:tcPr>
          <w:p>
            <w:r>
              <w:t>Constraint</w:t>
            </w:r>
          </w:p>
        </w:tc>
        <w:tc>
          <w:tcPr>
            <w:tcW w:type="dxa" w:w="4968"/>
          </w:tcPr>
          <w:p>
            <w:r>
              <w:t>Use a trial or educational account and verify current terms before selecting a platform.</w:t>
            </w:r>
          </w:p>
        </w:tc>
      </w:tr>
    </w:tbl>
    <w:p>
      <w:pPr>
        <w:pStyle w:val="Heading1"/>
      </w:pPr>
      <w:r>
        <w:t>5. Method / Approach</w:t>
      </w:r>
    </w:p>
    <w:p>
      <w:r>
        <w:t>Weighted feature comparison using a prototype</w:t>
      </w:r>
    </w:p>
    <w:p>
      <w:pPr>
        <w:pStyle w:val="Heading1"/>
      </w:pPr>
      <w:r>
        <w:t>6. Analysis and Discussion</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Analysis</w:t>
            </w:r>
          </w:p>
        </w:tc>
      </w:tr>
      <w:tr>
        <w:tc>
          <w:tcPr>
            <w:tcW w:type="dxa" w:w="4968"/>
          </w:tcPr>
          <w:p>
            <w:r>
              <w:t>Zoho Creator</w:t>
            </w:r>
          </w:p>
        </w:tc>
        <w:tc>
          <w:tcPr>
            <w:tcW w:type="dxa" w:w="4968"/>
          </w:tcPr>
          <w:p>
            <w:r>
              <w:t>Low-code application platform with forms, reports, workflows and Deluge scripting.</w:t>
            </w:r>
          </w:p>
        </w:tc>
      </w:tr>
      <w:tr>
        <w:tc>
          <w:tcPr>
            <w:tcW w:type="dxa" w:w="4968"/>
          </w:tcPr>
          <w:p>
            <w:r>
              <w:t>Microsoft Power Apps</w:t>
            </w:r>
          </w:p>
        </w:tc>
        <w:tc>
          <w:tcPr>
            <w:tcW w:type="dxa" w:w="4968"/>
          </w:tcPr>
          <w:p>
            <w:r>
              <w:t>Low-code tools integrated with the Microsoft ecosystem; licensing and connectors affect cost.</w:t>
            </w:r>
          </w:p>
        </w:tc>
      </w:tr>
      <w:tr>
        <w:tc>
          <w:tcPr>
            <w:tcW w:type="dxa" w:w="4968"/>
          </w:tcPr>
          <w:p>
            <w:r>
              <w:t>Google AppSheet</w:t>
            </w:r>
          </w:p>
        </w:tc>
        <w:tc>
          <w:tcPr>
            <w:tcW w:type="dxa" w:w="4968"/>
          </w:tcPr>
          <w:p>
            <w:r>
              <w:t>No-code app building focused on data-driven apps and automation; check supported data sources and plan limits.</w:t>
            </w:r>
          </w:p>
        </w:tc>
      </w:tr>
      <w:tr>
        <w:tc>
          <w:tcPr>
            <w:tcW w:type="dxa" w:w="4968"/>
          </w:tcPr>
          <w:p>
            <w:r>
              <w:t>Salesforce Platform</w:t>
            </w:r>
          </w:p>
        </w:tc>
        <w:tc>
          <w:tcPr>
            <w:tcW w:type="dxa" w:w="4968"/>
          </w:tcPr>
          <w:p>
            <w:r>
              <w:t>Low-code tools suited to Salesforce-centered business processes; implementation complexity and licensing should be evaluated.</w:t>
            </w:r>
          </w:p>
        </w:tc>
      </w:tr>
      <w:tr>
        <w:tc>
          <w:tcPr>
            <w:tcW w:type="dxa" w:w="4968"/>
          </w:tcPr>
          <w:p>
            <w:r>
              <w:t>No-code vs low-code</w:t>
            </w:r>
          </w:p>
        </w:tc>
        <w:tc>
          <w:tcPr>
            <w:tcW w:type="dxa" w:w="4968"/>
          </w:tcPr>
          <w:p>
            <w:r>
              <w:t>No-code emphasizes visual configuration; low-code adds scripting or code for advanced behaviour.</w:t>
            </w:r>
          </w:p>
        </w:tc>
      </w:tr>
    </w:tbl>
    <w:p>
      <w:pPr>
        <w:pStyle w:val="Heading1"/>
      </w:pPr>
      <w:r>
        <w:t>7. Procedure / Implementation Plan</w:t>
      </w:r>
    </w:p>
    <w:p>
      <w:r>
        <w:rPr>
          <w:b/>
        </w:rPr>
        <w:t xml:space="preserve">1. Define needs: </w:t>
      </w:r>
      <w:r>
        <w:t>List required forms, reports, workflow steps, users and integrations.</w:t>
      </w:r>
    </w:p>
    <w:p>
      <w:r>
        <w:rPr>
          <w:b/>
        </w:rPr>
        <w:t xml:space="preserve">2. Create prototype: </w:t>
      </w:r>
      <w:r>
        <w:t>Build the same basic request form in a trial environment where possible.</w:t>
      </w:r>
    </w:p>
    <w:p>
      <w:r>
        <w:rPr>
          <w:b/>
        </w:rPr>
        <w:t xml:space="preserve">3. Score platforms: </w:t>
      </w:r>
      <w:r>
        <w:t>Use a consistent scale such as 1–5 and document evidence for each score.</w:t>
      </w:r>
    </w:p>
    <w:p>
      <w:r>
        <w:rPr>
          <w:b/>
        </w:rPr>
        <w:t xml:space="preserve">4. Validate: </w:t>
      </w:r>
      <w:r>
        <w:t>Test permissions, mobile use, automation, exports and integrations.</w:t>
      </w:r>
    </w:p>
    <w:p>
      <w:r>
        <w:rPr>
          <w:b/>
        </w:rPr>
        <w:t xml:space="preserve">5. Decide: </w:t>
      </w:r>
      <w:r>
        <w:t>Consider subscription cost, future maintenance, data portability and team skills.</w:t>
      </w:r>
    </w:p>
    <w:p>
      <w:pPr>
        <w:pStyle w:val="Heading1"/>
      </w:pPr>
      <w:r>
        <w:t>8. Sample Test Cases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Input / action</w:t>
            </w:r>
          </w:p>
        </w:tc>
        <w:tc>
          <w:tcPr>
            <w:tcW w:type="dxa" w:w="3312"/>
          </w:tcPr>
          <w:p>
            <w:r>
              <w:t>Expected result</w:t>
            </w:r>
          </w:p>
        </w:tc>
      </w:tr>
      <w:tr>
        <w:tc>
          <w:tcPr>
            <w:tcW w:type="dxa" w:w="3312"/>
          </w:tcPr>
          <w:p>
            <w:r>
              <w:t>Form creation</w:t>
            </w:r>
          </w:p>
        </w:tc>
        <w:tc>
          <w:tcPr>
            <w:tcW w:type="dxa" w:w="3312"/>
          </w:tcPr>
          <w:p>
            <w:r>
              <w:t>Submit a complete equipment request</w:t>
            </w:r>
          </w:p>
        </w:tc>
        <w:tc>
          <w:tcPr>
            <w:tcW w:type="dxa" w:w="3312"/>
          </w:tcPr>
          <w:p>
            <w:r>
              <w:t>The request is saved with a unique identifier.</w:t>
            </w:r>
          </w:p>
        </w:tc>
      </w:tr>
      <w:tr>
        <w:tc>
          <w:tcPr>
            <w:tcW w:type="dxa" w:w="3312"/>
          </w:tcPr>
          <w:p>
            <w:r>
              <w:t>Approval workflow</w:t>
            </w:r>
          </w:p>
        </w:tc>
        <w:tc>
          <w:tcPr>
            <w:tcW w:type="dxa" w:w="3312"/>
          </w:tcPr>
          <w:p>
            <w:r>
              <w:t>Manager approves a request</w:t>
            </w:r>
          </w:p>
        </w:tc>
        <w:tc>
          <w:tcPr>
            <w:tcW w:type="dxa" w:w="3312"/>
          </w:tcPr>
          <w:p>
            <w:r>
              <w:t>Status changes and the action is recorded.</w:t>
            </w:r>
          </w:p>
        </w:tc>
      </w:tr>
      <w:tr>
        <w:tc>
          <w:tcPr>
            <w:tcW w:type="dxa" w:w="3312"/>
          </w:tcPr>
          <w:p>
            <w:r>
              <w:t>Access control</w:t>
            </w:r>
          </w:p>
        </w:tc>
        <w:tc>
          <w:tcPr>
            <w:tcW w:type="dxa" w:w="3312"/>
          </w:tcPr>
          <w:p>
            <w:r>
              <w:t>Staff user attempts admin action</w:t>
            </w:r>
          </w:p>
        </w:tc>
        <w:tc>
          <w:tcPr>
            <w:tcW w:type="dxa" w:w="3312"/>
          </w:tcPr>
          <w:p>
            <w:r>
              <w:t>Unauthorized configuration access is blocked.</w:t>
            </w:r>
          </w:p>
        </w:tc>
      </w:tr>
      <w:tr>
        <w:tc>
          <w:tcPr>
            <w:tcW w:type="dxa" w:w="3312"/>
          </w:tcPr>
          <w:p>
            <w:r>
              <w:t>Report export</w:t>
            </w:r>
          </w:p>
        </w:tc>
        <w:tc>
          <w:tcPr>
            <w:tcW w:type="dxa" w:w="3312"/>
          </w:tcPr>
          <w:p>
            <w:r>
              <w:t>Generate an equipment request report</w:t>
            </w:r>
          </w:p>
        </w:tc>
        <w:tc>
          <w:tcPr>
            <w:tcW w:type="dxa" w:w="3312"/>
          </w:tcPr>
          <w:p>
            <w:r>
              <w:t>Report values match the stored records.</w:t>
            </w:r>
          </w:p>
        </w:tc>
      </w:tr>
    </w:tbl>
    <w:p>
      <w:pPr>
        <w:pStyle w:val="Heading1"/>
      </w:pPr>
      <w:r>
        <w:t>9. Result</w:t>
      </w:r>
    </w:p>
    <w:p>
      <w:r>
        <w:t>A fair comparison requires a common prototype and transparent criteria rather than relying only on feature lists or marketing claims.</w:t>
      </w:r>
    </w:p>
    <w:p>
      <w:pPr>
        <w:pStyle w:val="Heading1"/>
      </w:pPr>
      <w:r>
        <w:t>10. Conclusion</w:t>
      </w:r>
    </w:p>
    <w:p>
      <w:r>
        <w:t>Choose the platform that best fits the organization's data sources, workflows, security requirements, skills and budget. Verify current licensing and capabilities before committing.</w:t>
      </w:r>
    </w:p>
    <w:p/>
    <w:p>
      <w:pPr>
        <w:jc w:val="center"/>
      </w:pPr>
      <w:r>
        <w:rPr>
          <w:i/>
          <w:color w:val="646464"/>
          <w:sz w:val="16"/>
        </w:rPr>
        <w:t>Prepared as an educational sample case study. Adapt platform-specific steps to the current interface and account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