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Discharge and Follow-up</w:t>
      </w:r>
    </w:p>
    <w:p>
      <w:pPr>
        <w:spacing w:after="120"/>
      </w:pPr>
      <w:r>
        <w:t xml:space="preserve">Hospital Knowledge Base — Reference Document</w:t>
      </w:r>
    </w:p>
    <w:p>
      <w:pPr>
        <w:spacing w:after="300" w:before="100"/>
      </w:pPr>
      <w:r>
        <w:rPr>
          <w:i/>
          <w:iCs/>
          <w:color w:val="666666"/>
          <w:sz w:val="20"/>
          <w:szCs w:val="20"/>
        </w:rPr>
        <w:t xml:space="preserve">Note: Fill in the placeholders below with your hospital's actual policy details, then save/export as PDF into this same subfolder for RAG ingestion.</w:t>
      </w:r>
    </w:p>
    <w:p>
      <w:pPr>
        <w:pStyle w:val="Heading1"/>
      </w:pPr>
      <w:r>
        <w:t xml:space="preserve">Discharge Process</w:t>
      </w:r>
    </w:p>
    <w:p>
      <w:pPr>
        <w:pStyle w:val="Heading2"/>
        <w:spacing w:before="200"/>
      </w:pPr>
      <w:r>
        <w:t xml:space="preserve">Discharge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[Clinical stability criteria]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[Physician sign-off requirement]</w:t>
      </w:r>
    </w:p>
    <w:p>
      <w:pPr>
        <w:pStyle w:val="Heading2"/>
        <w:spacing w:before="200"/>
      </w:pPr>
      <w:r>
        <w:t xml:space="preserve">Discharge Steps</w:t>
      </w:r>
    </w:p>
    <w:p>
      <w:pPr>
        <w:spacing w:after="80"/>
      </w:pPr>
      <w:r>
        <w:t xml:space="preserve">1. [Physician issues discharge order]</w:t>
      </w:r>
    </w:p>
    <w:p>
      <w:pPr>
        <w:spacing w:after="80"/>
      </w:pPr>
      <w:r>
        <w:t xml:space="preserve">2. [Discharge summary prepared]</w:t>
      </w:r>
    </w:p>
    <w:p>
      <w:pPr>
        <w:spacing w:after="80"/>
      </w:pPr>
      <w:r>
        <w:t xml:space="preserve">3. [Billing clearance]</w:t>
      </w:r>
    </w:p>
    <w:p>
      <w:pPr>
        <w:spacing w:after="80"/>
      </w:pPr>
      <w:r>
        <w:t xml:space="preserve">4. [Medications and instructions handed to patient]</w:t>
      </w:r>
    </w:p>
    <w:p>
      <w:pPr>
        <w:pStyle w:val="Heading2"/>
        <w:spacing w:before="200"/>
      </w:pPr>
      <w:r>
        <w:t xml:space="preserve">Discharge Summary Must Include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[Diagnosis]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[Treatment given]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[Medications prescribed on discharge]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[Follow-up instructions]</w:t>
      </w:r>
    </w:p>
    <w:p>
      <w:pPr>
        <w:pStyle w:val="Heading2"/>
        <w:spacing w:before="200"/>
      </w:pPr>
      <w:r>
        <w:t xml:space="preserve">Follow-up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[How to book a follow-up appointment]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[Follow-up OPD timings]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[When to seek emergency care again — red-flag symptoms]</w:t>
      </w:r>
    </w:p>
    <w:p>
      <w:pPr>
        <w:pStyle w:val="Heading2"/>
        <w:spacing w:before="200"/>
      </w:pPr>
      <w:r>
        <w:t xml:space="preserve">Against Medical Advice (AMA) Discharge</w:t>
      </w:r>
    </w:p>
    <w:p>
      <w:pPr>
        <w:spacing w:after="160"/>
      </w:pPr>
      <w:r>
        <w:rPr>
          <w:i/>
          <w:iCs/>
          <w:color w:val="888888"/>
        </w:rPr>
        <w:t xml:space="preserve">[Policy and required documentation for AMA discharge]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2026-09-15T17:50:22.798Z</dcterms:created>
  <dcterms:modified xsi:type="dcterms:W3CDTF">2026-09-15T17:50:22.798Z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