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sz w:val="42"/>
        </w:rPr>
        <w:t>MUHAMMAD FILAH ISYA' NOFATARI</w:t>
      </w:r>
    </w:p>
    <w:p>
      <w:pPr>
        <w:spacing w:before="0" w:after="20" w:line="240" w:lineRule="auto"/>
        <w:jc w:val="center"/>
      </w:pPr>
      <w:r>
        <w:rPr>
          <w:b/>
          <w:color w:val="006600"/>
          <w:sz w:val="19"/>
        </w:rPr>
        <w:t>BACHELOR OF FISHERIES (S.Pi.) | AQUACULTURE · FEED TECHNOLOGY · RESEARCH</w:t>
      </w:r>
    </w:p>
    <w:p>
      <w:pPr>
        <w:spacing w:before="0" w:after="120" w:line="240" w:lineRule="auto"/>
        <w:jc w:val="center"/>
      </w:pPr>
      <w:hyperlink r:id="rId9">
        <w:r>
          <w:rPr>
            <w:color w:val="000000"/>
            <w:u w:val="single"/>
            <w:sz w:val="18"/>
            <w:rFonts w:ascii="Calibri" w:hAnsi="Calibri"/>
          </w:rPr>
          <w:t>muhammadfilah02@gmail.com</w:t>
        </w:r>
      </w:hyperlink>
      <w:r>
        <w:rPr>
          <w:color w:val="808080"/>
          <w:sz w:val="18"/>
        </w:rPr>
        <w:t xml:space="preserve">  |  </w:t>
      </w:r>
      <w:hyperlink r:id="rId10">
        <w:r>
          <w:rPr>
            <w:color w:val="000000"/>
            <w:u w:val="single"/>
            <w:sz w:val="18"/>
            <w:rFonts w:ascii="Calibri" w:hAnsi="Calibri"/>
          </w:rPr>
          <w:t>LinkedIn</w:t>
        </w:r>
      </w:hyperlink>
      <w:r>
        <w:rPr>
          <w:color w:val="808080"/>
          <w:sz w:val="18"/>
        </w:rPr>
        <w:t xml:space="preserve">  |  </w:t>
      </w:r>
      <w:hyperlink r:id="rId11">
        <w:r>
          <w:rPr>
            <w:color w:val="000000"/>
            <w:u w:val="single"/>
            <w:sz w:val="18"/>
            <w:rFonts w:ascii="Calibri" w:hAnsi="Calibri"/>
          </w:rPr>
          <w:t>+6285784596442</w:t>
        </w:r>
      </w:hyperlink>
    </w:p>
    <w:p>
      <w:pPr>
        <w:spacing w:before="60" w:after="20" w:line="240" w:lineRule="auto"/>
      </w:pPr>
      <w:r>
        <w:rPr>
          <w:b/>
          <w:color w:val="006600"/>
          <w:sz w:val="22"/>
        </w:rPr>
        <w:t>PROFESSIONAL SUMMARY</w:t>
      </w:r>
    </w:p>
    <w:p>
      <w:pPr>
        <w:spacing w:before="0" w:after="40" w:line="240" w:lineRule="auto"/>
      </w:pPr>
      <w:r>
        <w:rPr>
          <w:b w:val="0"/>
          <w:sz w:val="18"/>
        </w:rPr>
        <w:t>Bachelor of Fisheries (S.Pi.) graduate with a background in aquaculture, feed technology, and fisheries research. Experienced in sample preparation, controlled treatments, data collection, measurement, and statistical analysis. Familiar with feed evaluation, biological observation, and scientific data interpretation, with strong attention to detail, analytical thinking, and teamwork. Interested in developing a career in feed formulation and aquaculture nutrition.</w:t>
      </w:r>
    </w:p>
    <w:p>
      <w:pPr>
        <w:spacing w:before="60" w:after="20" w:line="240" w:lineRule="auto"/>
      </w:pPr>
      <w:r>
        <w:rPr>
          <w:b/>
          <w:color w:val="006600"/>
          <w:sz w:val="22"/>
        </w:rPr>
        <w:t>EDUCATION</w:t>
      </w:r>
    </w:p>
    <w:p>
      <w:pPr>
        <w:spacing w:before="0" w:after="0" w:line="240" w:lineRule="auto"/>
      </w:pPr>
      <w:r>
        <w:rPr>
          <w:b/>
          <w:color w:val="808080"/>
          <w:sz w:val="18"/>
        </w:rPr>
        <w:t>Padjadjaran University · Faculty of Fisheries and Marine Sciences · 2022–2026</w:t>
      </w:r>
    </w:p>
    <w:p>
      <w:pPr>
        <w:spacing w:before="0" w:after="0" w:line="240" w:lineRule="auto"/>
      </w:pPr>
      <w:r>
        <w:rPr>
          <w:b/>
          <w:sz w:val="20"/>
        </w:rPr>
        <w:t>Bachelor of Fisheries (S.Pi.)</w:t>
      </w:r>
    </w:p>
    <w:p>
      <w:pPr>
        <w:spacing w:before="0" w:after="0" w:line="240" w:lineRule="auto"/>
      </w:pPr>
      <w:r>
        <w:rPr>
          <w:b w:val="0"/>
          <w:sz w:val="18"/>
        </w:rPr>
        <w:t>GPA: 3.79/4.00</w:t>
      </w:r>
    </w:p>
    <w:p>
      <w:pPr>
        <w:spacing w:before="60" w:after="20" w:line="240" w:lineRule="auto"/>
      </w:pPr>
      <w:r>
        <w:rPr>
          <w:b/>
          <w:color w:val="006600"/>
          <w:sz w:val="22"/>
        </w:rPr>
        <w:t>EXPERIENCE</w:t>
      </w:r>
    </w:p>
    <w:p>
      <w:pPr>
        <w:spacing w:before="0" w:after="0" w:line="240" w:lineRule="auto"/>
      </w:pPr>
      <w:r>
        <w:rPr>
          <w:b/>
          <w:color w:val="808080"/>
          <w:sz w:val="18"/>
        </w:rPr>
        <w:t>PADJADJARAN UNIVERSITY · FACULTY OF FISHERIES AND MARINE SCIENCES · 2024–2026</w:t>
      </w:r>
    </w:p>
    <w:p>
      <w:pPr>
        <w:spacing w:before="0" w:after="0" w:line="240" w:lineRule="auto"/>
      </w:pPr>
      <w:r>
        <w:rPr>
          <w:b/>
          <w:sz w:val="20"/>
        </w:rPr>
        <w:t>Practical Teaching Assistant</w:t>
      </w:r>
    </w:p>
    <w:p>
      <w:pPr>
        <w:spacing w:before="0" w:after="0" w:line="240" w:lineRule="auto"/>
      </w:pPr>
      <w:r>
        <w:rPr>
          <w:sz w:val="17"/>
        </w:rPr>
        <w:t>• Supported practical activities involving aquaculture, fish physiology, fisheries biology, and feed technology through demonstrations, measurements, and scientific observations.</w:t>
      </w:r>
    </w:p>
    <w:p>
      <w:pPr>
        <w:spacing w:before="0" w:after="0" w:line="240" w:lineRule="auto"/>
      </w:pPr>
      <w:r>
        <w:rPr>
          <w:sz w:val="17"/>
        </w:rPr>
        <w:t>• Assisted students in following practical procedures and recording observations and measurements accurately.</w:t>
      </w:r>
    </w:p>
    <w:p>
      <w:pPr>
        <w:spacing w:before="0" w:after="0" w:line="240" w:lineRule="auto"/>
      </w:pPr>
      <w:r>
        <w:rPr>
          <w:sz w:val="17"/>
        </w:rPr>
        <w:t>• Provided technical explanations and guidance during hands-on activities and laboratory sessions.</w:t>
      </w:r>
    </w:p>
    <w:p>
      <w:pPr>
        <w:spacing w:before="0" w:after="0" w:line="240" w:lineRule="auto"/>
      </w:pPr>
      <w:r>
        <w:rPr>
          <w:b/>
          <w:sz w:val="17"/>
        </w:rPr>
        <w:t>Teaching Assignments: Aquaculture Engineering · Aquatic Animal Physiology · Fisheries Biology · Feed Technology</w:t>
      </w:r>
    </w:p>
    <w:p>
      <w:pPr>
        <w:spacing w:before="60" w:after="20" w:line="240" w:lineRule="auto"/>
      </w:pPr>
      <w:r>
        <w:rPr>
          <w:b/>
          <w:color w:val="006600"/>
          <w:sz w:val="22"/>
        </w:rPr>
        <w:t>PROJECT EXPERIENCE</w:t>
      </w:r>
    </w:p>
    <w:p>
      <w:pPr>
        <w:spacing w:before="0" w:after="0" w:line="240" w:lineRule="auto"/>
      </w:pPr>
      <w:r>
        <w:rPr>
          <w:b/>
          <w:color w:val="808080"/>
          <w:sz w:val="18"/>
        </w:rPr>
        <w:t>PADJADJARAN UNIVERSITY · FACULTY OF FISHERIES AND MARINE SCIENCES · 2025</w:t>
      </w:r>
    </w:p>
    <w:p>
      <w:pPr>
        <w:spacing w:before="0" w:after="0" w:line="240" w:lineRule="auto"/>
      </w:pPr>
      <w:r>
        <w:rPr>
          <w:b/>
          <w:sz w:val="20"/>
        </w:rPr>
        <w:t>Mini Research Project – Grouper Sperm Cryopreservation &amp; Sperm Quality</w:t>
      </w:r>
    </w:p>
    <w:p>
      <w:pPr>
        <w:spacing w:before="0" w:after="0" w:line="240" w:lineRule="auto"/>
      </w:pPr>
      <w:r>
        <w:rPr>
          <w:sz w:val="17"/>
        </w:rPr>
        <w:t>• Participated in a faculty-supervised research project evaluating the effect of Artificial Seminal Plasma (ASP) osmolality on grouper sperm quality during short-term storage.</w:t>
      </w:r>
    </w:p>
    <w:p>
      <w:pPr>
        <w:spacing w:before="0" w:after="0" w:line="240" w:lineRule="auto"/>
      </w:pPr>
      <w:r>
        <w:rPr>
          <w:sz w:val="17"/>
        </w:rPr>
        <w:t>• Conducted sample preparation, controlled storage, and assessment of sperm motility and viability across storage intervals.</w:t>
      </w:r>
    </w:p>
    <w:p>
      <w:pPr>
        <w:spacing w:before="0" w:after="0" w:line="240" w:lineRule="auto"/>
      </w:pPr>
      <w:r>
        <w:rPr>
          <w:sz w:val="17"/>
        </w:rPr>
        <w:t>• Recorded, organized, and analyzed experimental data to evaluate treatment effects and changes in sperm quality over time.</w:t>
      </w:r>
    </w:p>
    <w:p>
      <w:pPr>
        <w:spacing w:before="60" w:after="20" w:line="240" w:lineRule="auto"/>
      </w:pPr>
      <w:r>
        <w:rPr>
          <w:b/>
          <w:color w:val="006600"/>
          <w:sz w:val="22"/>
        </w:rPr>
        <w:t>ORGANIZATIONAL EXPERIENCE</w:t>
      </w:r>
    </w:p>
    <w:p>
      <w:pPr>
        <w:spacing w:before="0" w:after="0" w:line="240" w:lineRule="auto"/>
      </w:pPr>
      <w:r>
        <w:rPr>
          <w:b/>
          <w:sz w:val="18"/>
        </w:rPr>
        <w:t>KARAMBA — Staff, Technical Operations Unit · 2023–2024</w:t>
      </w:r>
    </w:p>
    <w:p>
      <w:pPr>
        <w:spacing w:before="0" w:after="0" w:line="240" w:lineRule="auto"/>
      </w:pPr>
      <w:r>
        <w:rPr>
          <w:sz w:val="17"/>
        </w:rPr>
        <w:t>• Supported technical and operational activities while working collaboratively with team members and following planned procedures.</w:t>
      </w:r>
    </w:p>
    <w:p>
      <w:pPr>
        <w:spacing w:before="0" w:after="0" w:line="240" w:lineRule="auto"/>
      </w:pPr>
      <w:r>
        <w:rPr>
          <w:b/>
          <w:sz w:val="18"/>
        </w:rPr>
        <w:t>FORTIFIKASI — Staff, Production Division · 2023 | Vice Head, Media &amp; Information Division · 2024</w:t>
      </w:r>
    </w:p>
    <w:p>
      <w:pPr>
        <w:spacing w:before="0" w:after="0" w:line="240" w:lineRule="auto"/>
      </w:pPr>
      <w:r>
        <w:rPr>
          <w:sz w:val="17"/>
        </w:rPr>
        <w:t>• Supported production activities and coordinated team tasks to ensure smooth execution of organizational programs.</w:t>
      </w:r>
    </w:p>
    <w:p>
      <w:pPr>
        <w:spacing w:before="0" w:after="0" w:line="240" w:lineRule="auto"/>
      </w:pPr>
      <w:r>
        <w:rPr>
          <w:b/>
          <w:sz w:val="17"/>
        </w:rPr>
        <w:t>Achievement: Best Social Media Award, Faculty Level · 2024</w:t>
      </w:r>
    </w:p>
    <w:p>
      <w:pPr>
        <w:spacing w:before="60" w:after="20" w:line="240" w:lineRule="auto"/>
      </w:pPr>
      <w:r>
        <w:rPr>
          <w:b/>
          <w:color w:val="006600"/>
          <w:sz w:val="22"/>
        </w:rPr>
        <w:t>CORE COMPETENCIES</w:t>
      </w:r>
    </w:p>
    <w:p>
      <w:pPr>
        <w:spacing w:before="0" w:after="0" w:line="240" w:lineRule="auto"/>
      </w:pPr>
      <w:r>
        <w:rPr>
          <w:b/>
          <w:sz w:val="17"/>
        </w:rPr>
        <w:t>Aquaculture &amp; Feed: Feed Technology · Feed Evaluation · Aquaculture · Fish Growth Evaluation</w:t>
      </w:r>
    </w:p>
    <w:p>
      <w:pPr>
        <w:spacing w:before="0" w:after="0" w:line="240" w:lineRule="auto"/>
      </w:pPr>
      <w:r>
        <w:rPr>
          <w:b/>
          <w:sz w:val="17"/>
        </w:rPr>
        <w:t>Research &amp; Data: Data Collection · Statistical Analysis · Data Interpretation · Scientific Reporting</w:t>
      </w:r>
    </w:p>
    <w:p>
      <w:pPr>
        <w:spacing w:before="0" w:after="0" w:line="240" w:lineRule="auto"/>
      </w:pPr>
      <w:r>
        <w:rPr>
          <w:b/>
          <w:sz w:val="17"/>
        </w:rPr>
        <w:t>Laboratory &amp; Practical: Sample Preparation · Measurement · Observation · Documentation</w:t>
      </w:r>
    </w:p>
    <w:p>
      <w:pPr>
        <w:spacing w:before="0" w:after="0" w:line="240" w:lineRule="auto"/>
      </w:pPr>
      <w:r>
        <w:rPr>
          <w:b/>
          <w:sz w:val="17"/>
        </w:rPr>
        <w:t>Analytical &amp; Teamwork: Analytical Thinking · Problem Solving · Attention to Detail · Team Collaboration</w:t>
      </w:r>
    </w:p>
    <w:p>
      <w:pPr>
        <w:spacing w:before="60" w:after="20" w:line="240" w:lineRule="auto"/>
      </w:pPr>
      <w:r>
        <w:rPr>
          <w:b/>
          <w:color w:val="006600"/>
          <w:sz w:val="22"/>
        </w:rPr>
        <w:t>TOOLS &amp; PLATFORMS</w:t>
      </w:r>
    </w:p>
    <w:tbl>
      <w:tblPr>
        <w:tblW w:type="auto" w:w="0"/>
        <w:tblLayout w:type="autofit"/>
        <w:tblLook w:firstColumn="1" w:firstRow="1" w:lastColumn="0" w:lastRow="0" w:noHBand="0" w:noVBand="1" w:val="04A0"/>
      </w:tblPr>
      <w:tblGrid>
        <w:gridCol w:w="5328"/>
        <w:gridCol w:w="5328"/>
      </w:tblGrid>
      <w:tr>
        <w:tc>
          <w:tcPr>
            <w:tcW w:type="dxa" w:w="5328"/>
            <w:shd w:fill="F3F5F6"/>
            <w:tcMar>
              <w:top w:w="70" w:type="dxa"/>
              <w:left w:w="90" w:type="dxa"/>
              <w:bottom w:w="70" w:type="dxa"/>
              <w:right w:w="90" w:type="dxa"/>
            </w:tcMar>
          </w:tcPr>
          <w:p>
            <w:pPr>
              <w:spacing w:before="0" w:after="0" w:line="240" w:lineRule="auto"/>
              <w:jc w:val="left"/>
            </w:pPr>
            <w:r>
              <w:rPr>
                <w:b/>
                <w:sz w:val="17"/>
              </w:rPr>
              <w:t>Data &amp; Research</w:t>
            </w:r>
          </w:p>
          <w:p>
            <w:pPr>
              <w:spacing w:before="0" w:after="0" w:line="240" w:lineRule="auto"/>
            </w:pPr>
            <w:r>
              <w:rPr>
                <w:sz w:val="17"/>
              </w:rPr>
              <w:t>Microsoft Excel · RStudio · Google Sheets</w:t>
            </w:r>
          </w:p>
        </w:tc>
        <w:tc>
          <w:tcPr>
            <w:tcW w:type="dxa" w:w="5328"/>
            <w:shd w:fill="F3F5F6"/>
            <w:tcMar>
              <w:top w:w="70" w:type="dxa"/>
              <w:left w:w="90" w:type="dxa"/>
              <w:bottom w:w="70" w:type="dxa"/>
              <w:right w:w="90" w:type="dxa"/>
            </w:tcMar>
          </w:tcPr>
          <w:p>
            <w:pPr>
              <w:spacing w:before="0" w:after="0" w:line="240" w:lineRule="auto"/>
              <w:jc w:val="left"/>
            </w:pPr>
            <w:r>
              <w:rPr>
                <w:b/>
                <w:sz w:val="17"/>
              </w:rPr>
              <w:t>Digital Production</w:t>
            </w:r>
          </w:p>
          <w:p>
            <w:pPr>
              <w:spacing w:before="0" w:after="0" w:line="240" w:lineRule="auto"/>
            </w:pPr>
            <w:r>
              <w:rPr>
                <w:sz w:val="17"/>
              </w:rPr>
              <w:t>Canva · CapCut</w:t>
            </w:r>
          </w:p>
        </w:tc>
      </w:tr>
    </w:tbl>
    <w:sectPr w:rsidR="00FC693F" w:rsidRPr="0006063C" w:rsidSect="00034616">
      <w:footerReference w:type="default" r:id="rId12"/>
      <w:pgSz w:w="12240" w:h="15840"/>
      <w:pgMar w:top="605"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Muhammad Filah Isya' Nofatari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hammadfilah02@gmail.com" TargetMode="External"/><Relationship Id="rId10" Type="http://schemas.openxmlformats.org/officeDocument/2006/relationships/hyperlink" Target="https://linkedin.com/in/muhammadfilah02" TargetMode="External"/><Relationship Id="rId11" Type="http://schemas.openxmlformats.org/officeDocument/2006/relationships/hyperlink" Target="https://wa.me/6285784596442"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