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808080"/>
          <w:sz w:val="20"/>
          <w:szCs w:val="20"/>
        </w:rPr>
        <w:t xml:space="preserve">PRODUCT REQUIREMENTS DOCUMENT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House Price Prediction Model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Machine Learning Platform</w:t>
      </w:r>
    </w:p>
    <w:p>
      <w:pPr>
        <w:spacing w:after="240" w:before="0"/>
      </w:pP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Owner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Platform Team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Product Requirements Document defines the end-to-end specifications for building a production-grade House Price Prediction ML system. The model will ingest structured property data and generate accurate, interpretable price estimates to support buyers, sellers, agents, and platform decision-making across residential real estate markets.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system will be exposed as a RESTful API and an embedded inference widget, enabling seamless integration into consumer-facing property portals, CRM tools, and internal analytics dashboards. Beyond pure prediction accuracy, the product emphasizes explainability, fairness, and operational reliability.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Statement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Current State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Real estate pricing today relies heavily on comparative market analysis (CMA) performed manually by agents. This process is time-consuming, subjective, and inconsistent — price estimates for the same property can vary by 10–25% depending on the agent and methodology. For consumers, information asymmetry creates significant financial risk.</w:t>
      </w:r>
    </w:p>
    <w:p>
      <w:pPr>
        <w:spacing w:after="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Sellers overprice or underprice due to limited data exposure, leading to prolonged listings or foregone revenue.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Buyers cannot quickly validate whether an asking price is fair relative to comparable properties.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 teams lack automated valuation signals for recommendation, ranking, and fraud detection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 CMAs take 2–4 hours per property and cannot scale to millions of listings.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Opportunity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 ML-powered Automated Valuation Model (AVM) can reduce pricing error to below 8% MAPE while delivering sub-200ms predictions at scale, enabling a step-change in platform quality and user trust.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Goals &amp; Success Metrics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Primary 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 accurate, production-ready house price predictions within ±10% of actual sale price for 85%+ of properties.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human-interpretable explanations for each prediction using SHAP feature attributions.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fair, auditable model that does not encode discriminatory proxies for protected attributes.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 predictions at &lt;200ms P99 latency at 1,000 RPS steady-state traffic.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continuous retraining to adapt to market dynamics without manual intervention.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Key Performance Indicators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18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Absolute Percentage Error on held-out test set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8%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AE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absolute error in USD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$15,000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10% Rate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predictions within 10% of actual sale price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Latency P99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99th-percentile inference latency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Uptime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availability SLA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99.9%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 of determination on test set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0.90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 Score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MAPE disparity across demographic groups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Retraining Cycle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 of automated model refresh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Explanation Coverage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predictions with SHAP explanations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Drift Alert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detect significant covariate shift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24 hrs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Scope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Covered types: </w:t>
      </w:r>
      <w:r>
        <w:rPr>
          <w:rFonts w:ascii="Arial" w:cs="Arial" w:eastAsia="Arial" w:hAnsi="Arial"/>
          <w:sz w:val="22"/>
          <w:szCs w:val="22"/>
        </w:rPr>
        <w:t xml:space="preserve">Residential property types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Single-family homes, condominiums, townhouses, multi-family (2–4 units)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1: </w:t>
      </w:r>
      <w:r>
        <w:rPr>
          <w:rFonts w:ascii="Arial" w:cs="Arial" w:eastAsia="Arial" w:hAnsi="Arial"/>
          <w:sz w:val="22"/>
          <w:szCs w:val="22"/>
        </w:rPr>
        <w:t xml:space="preserve">Geographic coverage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Top 20 metropolitan statistical areas (MSAs) by transaction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Prediction target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Estimated market value at time of query; not rental yield or ROI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Delivery: </w:t>
      </w:r>
      <w:r>
        <w:rPr>
          <w:rFonts w:ascii="Arial" w:cs="Arial" w:eastAsia="Arial" w:hAnsi="Arial"/>
          <w:sz w:val="22"/>
          <w:szCs w:val="22"/>
        </w:rPr>
        <w:t xml:space="preserve">Interfaces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REST API (JSON), Python SDK, embedded JavaScript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MLOps: </w:t>
      </w:r>
      <w:r>
        <w:rPr>
          <w:rFonts w:ascii="Arial" w:cs="Arial" w:eastAsia="Arial" w:hAnsi="Arial"/>
          <w:sz w:val="22"/>
          <w:szCs w:val="22"/>
        </w:rPr>
        <w:t xml:space="preserve">Retraining pipeline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Automated monthly retraining triggered by drift detection or schedule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Out of Scope —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Commercial, industrial, agricultural, and land-only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Rental price or cap rate estimation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Predictive forecasting (future price trends)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Natural language property description parsing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International markets outside the United States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Stakeholders &amp; Users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Stakeholder Map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Concern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Engineering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Build, train, deploy model</w:t>
            </w:r>
          </w:p>
        </w:tc>
        <w:tc>
          <w:tcPr>
            <w:tcW w:type="dxa" w:w="4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accuracy, latency, reliability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Engineering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pipelines, data quality</w:t>
            </w:r>
          </w:p>
        </w:tc>
        <w:tc>
          <w:tcPr>
            <w:tcW w:type="dxa" w:w="4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freshness, schema stability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requirements, roadmap</w:t>
            </w:r>
          </w:p>
        </w:tc>
        <w:tc>
          <w:tcPr>
            <w:tcW w:type="dxa" w:w="4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value, adoption, KPIs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 Agents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consumers via portal</w:t>
            </w:r>
          </w:p>
        </w:tc>
        <w:tc>
          <w:tcPr>
            <w:tcW w:type="dxa" w:w="4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Trust, explainability, speed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Buyers / Sellers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consumers via portal</w:t>
            </w:r>
          </w:p>
        </w:tc>
        <w:tc>
          <w:tcPr>
            <w:tcW w:type="dxa" w:w="4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Accuracy, actionability, fairness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oversight</w:t>
            </w:r>
          </w:p>
        </w:tc>
        <w:tc>
          <w:tcPr>
            <w:tcW w:type="dxa" w:w="4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Fairness, auditability, ECOA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Ops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Infrastructure, SLAs</w:t>
            </w:r>
          </w:p>
        </w:tc>
        <w:tc>
          <w:tcPr>
            <w:tcW w:type="dxa" w:w="4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Uptime, cost, scalability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Science / Research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governance</w:t>
            </w:r>
          </w:p>
        </w:tc>
        <w:tc>
          <w:tcPr>
            <w:tcW w:type="dxa" w:w="4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Methodology, bias, drift monitoring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Training Data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model requires a minimum of 3 years of historical residential sale transactions with associated property attributes. Minimum dataset size for initial training: 500,000 transactions across target MSAs.</w:t>
      </w:r>
    </w:p>
    <w:p>
      <w:pPr>
        <w:spacing w:after="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6.1.1 Primary Data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Multiple Listing Service (MLS) feeds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Sale price, listing date, days on market, status, agent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County Assessor / Tax Records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Legal lot size, zoning, tax assessment history, ownership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U.S. Census ACS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Neighborhood demographics, income distribution, school district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Point-of-Interest APIs (Google Places, OpenStreetMap)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Proximity to transit, schools, hospitals, retail, parks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Walk Score / Transit Score / Bike Score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Composite walkability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FEMA Flood Zone Maps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Flood risk designation per parcel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Historical sale comparables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Last 3–5 sale prices per property with dates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Feature Categories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040"/>
        <w:gridCol w:w="2160"/>
      </w:tblGrid>
      <w:tr>
        <w:trPr>
          <w:tblHeader/>
        </w:trPr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0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(Examples)</w:t>
            </w:r>
          </w:p>
        </w:tc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Attributes</w:t>
            </w:r>
          </w:p>
        </w:tc>
        <w:tc>
          <w:tcPr>
            <w:tcW w:type="dxa" w:w="50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Beds, baths, sq ft, lot size, year built, stories, garage, pool</w:t>
            </w:r>
          </w:p>
        </w:tc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/ Categorical</w:t>
            </w:r>
          </w:p>
        </w:tc>
      </w:tr>
      <w:tr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</w:t>
            </w:r>
          </w:p>
        </w:tc>
        <w:tc>
          <w:tcPr>
            <w:tcW w:type="dxa" w:w="50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type, roof material, foundation, HVAC, heating fuel</w:t>
            </w:r>
          </w:p>
        </w:tc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</w:tr>
      <w:tr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&amp; Quality</w:t>
            </w:r>
          </w:p>
        </w:tc>
        <w:tc>
          <w:tcPr>
            <w:tcW w:type="dxa" w:w="50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score, quality grade, renovation year, kitchen/bath grade</w:t>
            </w:r>
          </w:p>
        </w:tc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</w:t>
            </w:r>
          </w:p>
        </w:tc>
      </w:tr>
      <w:tr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50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Latitude/longitude, ZIP code, MSA, school district, flood zone</w:t>
            </w:r>
          </w:p>
        </w:tc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 / Categorical</w:t>
            </w:r>
          </w:p>
        </w:tc>
      </w:tr>
      <w:tr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Proximity</w:t>
            </w:r>
          </w:p>
        </w:tc>
        <w:tc>
          <w:tcPr>
            <w:tcW w:type="dxa" w:w="50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to CBD, nearest school rating, transit access score</w:t>
            </w:r>
          </w:p>
        </w:tc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</w:tr>
      <w:tr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Neighborhood</w:t>
            </w:r>
          </w:p>
        </w:tc>
        <w:tc>
          <w:tcPr>
            <w:tcW w:type="dxa" w:w="50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income, crime index, walkability, POI density</w:t>
            </w:r>
          </w:p>
        </w:tc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</w:tr>
      <w:tr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Conditions</w:t>
            </w:r>
          </w:p>
        </w:tc>
        <w:tc>
          <w:tcPr>
            <w:tcW w:type="dxa" w:w="50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HPI, days on market (comparable), mortgage rate at listing</w:t>
            </w:r>
          </w:p>
        </w:tc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/ Time</w:t>
            </w:r>
          </w:p>
        </w:tc>
      </w:tr>
      <w:tr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</w:t>
            </w:r>
          </w:p>
        </w:tc>
        <w:tc>
          <w:tcPr>
            <w:tcW w:type="dxa" w:w="50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Month, quarter, year, days since last sale, listing age</w:t>
            </w:r>
          </w:p>
        </w:tc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/ Cyclic</w:t>
            </w:r>
          </w:p>
        </w:tc>
      </w:tr>
      <w:tr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Comparable Sales</w:t>
            </w:r>
          </w:p>
        </w:tc>
        <w:tc>
          <w:tcPr>
            <w:tcW w:type="dxa" w:w="50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3 sale prices, price per sq ft (comp), age of comps</w:t>
            </w:r>
          </w:p>
        </w:tc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Data Quality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 value tolerance: &lt;5% per feature for model training; imputation strategy required for inference.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Freshness SLA: MLS data must be refreshed within 24 hours; assessor data within 72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Outlier handling: Sale prices outside [P1, P99] per MSA flagged and reviewed before inclusion.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 detection: APN-level deduplication; most recent sale per quarter retained.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Protected attribute exclusion: Race, ethnicity, religion, national origin must not appear as model features (ECOA compliance).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Model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Modeling Approach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model will use a gradient-boosted tree ensemble as the primary algorithm, given its strong performance on tabular real estate data and inherent feature importance capabilities. A neural network (tabular transformer) will be maintained as a challenger model.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7.1.1 Candidate Algorithms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3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43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/ LightGBM</w:t>
            </w:r>
          </w:p>
        </w:tc>
        <w:tc>
          <w:tcPr>
            <w:tcW w:type="dxa" w:w="43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baseline for tabular data; fast training; good interpretability via SHAP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Champion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CatBoost</w:t>
            </w:r>
          </w:p>
        </w:tc>
        <w:tc>
          <w:tcPr>
            <w:tcW w:type="dxa" w:w="43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categorical handling; robust to overfitting on high-cardinality features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Challenger A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Tabular Transformer (FT-T)</w:t>
            </w:r>
          </w:p>
        </w:tc>
        <w:tc>
          <w:tcPr>
            <w:tcW w:type="dxa" w:w="43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complex feature interactions; strong with mixed data types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Challenger B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Geographically Weighted Regression</w:t>
            </w:r>
          </w:p>
        </w:tc>
        <w:tc>
          <w:tcPr>
            <w:tcW w:type="dxa" w:w="43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Spatial non-stationarity baseline; interpretable; comparisons benchmark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Model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Hierarchical modeling: MSA-level meta-features feed a global model; MSA-specific fine-tuned models override for high-volume markets.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Ensemble: Final prediction is a weighted blend of champion + challenger outputs, calibrated via isotonic regression.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Uncertainty quantification: Prediction intervals (80% and 95% confidence) generated via quantile regression forests.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Spatial embeddings: ZIP code and neighborhood encoded via learned geospatial embeddings trained on transaction density.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Feature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Log-transform sale price and lot size to reduce right skew.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Cyclic encoding for month/quarter features (sin/cos transforms).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Price-per-square-foot engineered as a derived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Rolling median comparable sale price for same ZIP, ±6 months, ±200 sq 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Interaction features: condition_score × year_built_age, beds × baths ratio.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Geohash binning at precision levels 5, 6, 7 for spatial smoothing.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Training &amp; Validation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Train/Validation/Test split: 70% / 15% / 15%, stratified by MSA and sale year.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Temporal holdout: Final 6 months of data reserved exclusively as test set to prevent look-ahead bias.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Cross-validation: 5-fold spatial cross-validation (geohash-blocked folds) to prevent spatial leakage.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Hyperparameter tuning: Bayesian optimization with 100 trials; early stopping on validation MAPE.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selection: SHAP-based backward elimination; features with mean |SHAP| &lt; 0.01 pruned.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Explainability &amp; Fairness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Explainability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API response must include top-5 SHAP feature attributions ranked by absolute contribution to the predicted price.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Global feature importance report generated after each training run and stored in the model registry.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Counterfactual explanations: The API must support a /counterfactual endpoint returning the minimum feature changes required to move price by ±10%.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Explanation latency must not add more than 50ms to P99 inference time.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Fairness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Pre-training audit: Distribution parity check across racial composition proxy (ZIP-level % minority) and income quartile bands.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Post-training bias metrics: Compute MAPE, calibration, and coverage separately for low-income, minority-majority, and rural ZIP codes.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Disparate impact threshold: MAPE gap between any demographic segment and overall MAPE must not exceed 2 percentage 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Prohibited features: Model must not include race, ethnicity, sex, familial status, disability, national origin, or religion (Fair Housing Act / ECOA).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Annual third-party fairness audit required before major model version releases.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API Specification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Core Endpoints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20"/>
        <w:gridCol w:w="3960"/>
        <w:gridCol w:w="1800"/>
      </w:tblGrid>
      <w:tr>
        <w:trPr>
          <w:tblHeader/>
        </w:trPr>
        <w:tc>
          <w:tcPr>
            <w:tcW w:type="dxa" w:w="1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/v1/predict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property price prediction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1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/v1/predict/batch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prediction (up to 500 properties)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1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/v1/counterfactual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What-if counterfactual analysis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1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/v1/model/info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model version, training date, coverage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1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/v1/health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Liveness / readiness probe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/v1/metrics</w:t>
            </w:r>
          </w:p>
        </w:tc>
        <w:tc>
          <w:tcPr>
            <w:tcW w:type="dxa" w:w="3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Prometheus-compatible performance metrics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Prediction Request Schema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"property": {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"address": "123 Main St, Austin, TX 78701",</w:t>
            </w:r>
          </w:p>
          <w:p>
            <w:r>
              <w:rPr>
                <w:rFonts w:ascii="Courier New" w:cs="Courier New" w:eastAsia="Courier New" w:hAnsi="Courier New"/>
                <w:color w:val="FAB387"/>
                <w:sz w:val="20"/>
                <w:szCs w:val="20"/>
              </w:rPr>
              <w:t xml:space="preserve">    "bedrooms": 4,</w:t>
            </w:r>
          </w:p>
          <w:p>
            <w:r>
              <w:rPr>
                <w:rFonts w:ascii="Courier New" w:cs="Courier New" w:eastAsia="Courier New" w:hAnsi="Courier New"/>
                <w:color w:val="FAB387"/>
                <w:sz w:val="20"/>
                <w:szCs w:val="20"/>
              </w:rPr>
              <w:t xml:space="preserve">    "bathrooms": 2.5,</w:t>
            </w:r>
          </w:p>
          <w:p>
            <w:r>
              <w:rPr>
                <w:rFonts w:ascii="Courier New" w:cs="Courier New" w:eastAsia="Courier New" w:hAnsi="Courier New"/>
                <w:color w:val="FAB387"/>
                <w:sz w:val="20"/>
                <w:szCs w:val="20"/>
              </w:rPr>
              <w:t xml:space="preserve">    "sqft_living": 2100,</w:t>
            </w:r>
          </w:p>
          <w:p>
            <w:r>
              <w:rPr>
                <w:rFonts w:ascii="Courier New" w:cs="Courier New" w:eastAsia="Courier New" w:hAnsi="Courier New"/>
                <w:color w:val="FAB387"/>
                <w:sz w:val="20"/>
                <w:szCs w:val="20"/>
              </w:rPr>
              <w:t xml:space="preserve">    "sqft_lot": 6500,</w:t>
            </w:r>
          </w:p>
          <w:p>
            <w:r>
              <w:rPr>
                <w:rFonts w:ascii="Courier New" w:cs="Courier New" w:eastAsia="Courier New" w:hAnsi="Courier New"/>
                <w:color w:val="FAB387"/>
                <w:sz w:val="20"/>
                <w:szCs w:val="20"/>
              </w:rPr>
              <w:t xml:space="preserve">    "year_built": 1998,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  "condition": "Good",</w:t>
            </w:r>
          </w:p>
          <w:p>
            <w:r>
              <w:rPr>
                <w:rFonts w:ascii="Courier New" w:cs="Courier New" w:eastAsia="Courier New" w:hAnsi="Courier New"/>
                <w:color w:val="FAB387"/>
                <w:sz w:val="20"/>
                <w:szCs w:val="20"/>
              </w:rPr>
              <w:t xml:space="preserve">    "garage_spaces": 2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"options": {</w:t>
            </w:r>
          </w:p>
          <w:p>
            <w:r>
              <w:rPr>
                <w:rFonts w:ascii="Courier New" w:cs="Courier New" w:eastAsia="Courier New" w:hAnsi="Courier New"/>
                <w:color w:val="FAB387"/>
                <w:sz w:val="20"/>
                <w:szCs w:val="20"/>
              </w:rPr>
              <w:t xml:space="preserve">    "include_explanation": true,</w:t>
            </w:r>
          </w:p>
          <w:p>
            <w:r>
              <w:rPr>
                <w:rFonts w:ascii="Courier New" w:cs="Courier New" w:eastAsia="Courier New" w:hAnsi="Courier New"/>
                <w:color w:val="FAB387"/>
                <w:sz w:val="20"/>
                <w:szCs w:val="20"/>
              </w:rPr>
              <w:t xml:space="preserve">    "include_confidence_interval": true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Prediction Response Schema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FAB387"/>
                <w:sz w:val="20"/>
                <w:szCs w:val="20"/>
              </w:rPr>
              <w:t xml:space="preserve">  "predicted_price": 487500,</w:t>
            </w:r>
          </w:p>
          <w:p>
            <w:r>
              <w:rPr>
                <w:rFonts w:ascii="Courier New" w:cs="Courier New" w:eastAsia="Courier New" w:hAnsi="Courier New"/>
                <w:color w:val="FAB387"/>
                <w:sz w:val="20"/>
                <w:szCs w:val="20"/>
              </w:rPr>
              <w:t xml:space="preserve">  "confidence_interval": { "low_80": 451200, "high_80": 523800 },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"model_version": "v2.4.1",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"explanation":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"top_features": [</w:t>
            </w:r>
          </w:p>
          <w:p>
            <w:r>
              <w:rPr>
                <w:rFonts w:ascii="Courier New" w:cs="Courier New" w:eastAsia="Courier New" w:hAnsi="Courier New"/>
                <w:color w:val="89DCEB"/>
                <w:sz w:val="20"/>
                <w:szCs w:val="20"/>
              </w:rPr>
              <w:t xml:space="preserve">      { "feature": "sqft_living", "contribution": +42300, "direction": "positive" },</w:t>
            </w:r>
          </w:p>
          <w:p>
            <w:r>
              <w:rPr>
                <w:rFonts w:ascii="Courier New" w:cs="Courier New" w:eastAsia="Courier New" w:hAnsi="Courier New"/>
                <w:color w:val="89DCEB"/>
                <w:sz w:val="20"/>
                <w:szCs w:val="20"/>
              </w:rPr>
              <w:t xml:space="preserve">      { "feature": "school_rating", "contribution": +18700, "direction": "positive" },</w:t>
            </w:r>
          </w:p>
          <w:p>
            <w:r>
              <w:rPr>
                <w:rFonts w:ascii="Courier New" w:cs="Courier New" w:eastAsia="Courier New" w:hAnsi="Courier New"/>
                <w:color w:val="89DCEB"/>
                <w:sz w:val="20"/>
                <w:szCs w:val="20"/>
              </w:rPr>
              <w:t xml:space="preserve">      { "feature": "year_built_age", "contribution": -9200, "direction": "negative"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FAB387"/>
                <w:sz w:val="20"/>
                <w:szCs w:val="20"/>
              </w:rPr>
              <w:t xml:space="preserve">  "inference_ms": 87,</w:t>
            </w:r>
          </w:p>
          <w:p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  "market": "Austin-Round Rock, TX MSA"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System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Architecture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system follows a microservices architecture with a clear separation between the offline training pipeline and the online serving layer. All model artifacts are versioned and stored in a central model registry.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10.1.1 Offline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ingestion layer: Kafka-based event streaming for MLS data; batch ingestion for assessor and census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store: Apache Hive + Redis hybrid — historical features in Hive; low-latency lookup features in Redis.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Training orchestration: Apache Airflow DAG triggered monthly (or on drift signal).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Experiment tracking: MLflow with DVC for dataset versioning; all metrics logged per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registry: MLflow Model Registry with staging → production promotion gate.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10.1.2 Online Serving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Inference service: FastAPI application containerized with Docker; deployed on Kubernetes.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serving: TorchServe / BentoML for model loading; ONNX export for optimized inference.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Caching: Redis-based prediction cache with 1-hour TTL keyed on property canonical hash.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balancing: NGINX ingress with automatic horizontal pod autoscaling (HPA) at 70% CPU.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Monitoring: Prometheus metrics + Grafana dashboards; Evidently AI for data/model drift.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Infrastructure Requirements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600"/>
      </w:tblGrid>
      <w:tr>
        <w:trPr>
          <w:tblHeader/>
        </w:trP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Sizing (Prod)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Cluster</w:t>
            </w:r>
          </w:p>
        </w:tc>
        <w:tc>
          <w:tcPr>
            <w:tcW w:type="dxa" w:w="3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on EMR / GKE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16-core, 64GB RAM workers × 10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Service</w:t>
            </w:r>
          </w:p>
        </w:tc>
        <w:tc>
          <w:tcPr>
            <w:tcW w:type="dxa" w:w="3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(EKS/GKE)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4-core, 16GB RAM pods, min 3 replicas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Store (Hot)</w:t>
            </w:r>
          </w:p>
        </w:tc>
        <w:tc>
          <w:tcPr>
            <w:tcW w:type="dxa" w:w="3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Cluster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3-node, 32GB RAM per node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Store (Cold)</w:t>
            </w:r>
          </w:p>
        </w:tc>
        <w:tc>
          <w:tcPr>
            <w:tcW w:type="dxa" w:w="3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Hive / BigQuery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service, 10TB storage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3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3-broker cluster, 7-day retention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Registry</w:t>
            </w:r>
          </w:p>
        </w:tc>
        <w:tc>
          <w:tcPr>
            <w:tcW w:type="dxa" w:w="3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on RDS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db.t3.large, 100GB storage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Grafana Cloud or self-hosted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API Gateway / Kong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Managed, with rate limiting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MLOps &amp; Model Lifecycle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Continuous Training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Scheduled retraining: Monthly cadence on the 1st of each month using the previous 36 months of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Triggered retraining: Automatic retraining if PSI (Population Stability Index) &gt; 0.2 or MAPE drift &gt; 1.5pp on shadow traffic.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Champion/challenger deployment: New model runs in shadow mode for 14 days before promotion; automated A/B test comparison.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Rollback: Automated rollback if production MAPE increases by &gt;2pp within 7 days of deployment.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Monitoring &amp; Alerting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2520"/>
      </w:tblGrid>
      <w:tr>
        <w:trPr>
          <w:tblHeader/>
        </w:trPr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accuracy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7-day MAPE on labeled actuals</w:t>
            </w:r>
          </w:p>
        </w:tc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10%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P2, trigger retrain</w:t>
            </w:r>
          </w:p>
        </w:tc>
      </w:tr>
      <w:tr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of most recent MLS batch</w:t>
            </w:r>
          </w:p>
        </w:tc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36 hours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P1, escalate to Data Eng</w:t>
            </w:r>
          </w:p>
        </w:tc>
      </w:tr>
      <w:tr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drift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 for top-10 features</w:t>
            </w:r>
          </w:p>
        </w:tc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0.20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alert, schedule retrain</w:t>
            </w:r>
          </w:p>
        </w:tc>
      </w:tr>
      <w:tr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latency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 inference latency</w:t>
            </w:r>
          </w:p>
        </w:tc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250ms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P2, scale up pods</w:t>
            </w:r>
          </w:p>
        </w:tc>
      </w:tr>
      <w:tr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5xx responses / total requests</w:t>
            </w:r>
          </w:p>
        </w:tc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0.5%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P1, ops on-call</w:t>
            </w:r>
          </w:p>
        </w:tc>
      </w:tr>
      <w:tr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hit ratio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hit rate</w:t>
            </w:r>
          </w:p>
        </w:tc>
        <w:tc>
          <w:tcPr>
            <w:tcW w:type="dxa" w:w="2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40%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warning, review TTL policy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Security &amp; Compliance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Data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personally identifiable information (owner names, SSNs) stripped at ingestion; model never trained on PII.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at rest encrypted using AES-256; data in transit enforced via TLS 1.3.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control: Role-based access to training data, model artifacts, and inference logs via IAM policies.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logging: All prediction API calls logged with timestamp, requester ID, input hash, and output for 2 years.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Regulatory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Equal Credit Opportunity Act (ECOA): Model audited annually for disparate impact; no protected class proxies in feature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Fair Housing Act: Compliance review before each major model release; documentation maintained for regulatory inquiries.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CCPA / State Privacy Laws: Users may request deletion of prediction history; opt-out mechanism for data retention.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cards: Published for each production model version documenting training data, evaluation metrics, and known limitations.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Release Plan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Phased Rollout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0: Foundation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pipeline, feature store, baseline model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pipeline green; MAPE &lt; 12% on holdout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Alpha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5–8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API, top-5 MSAs, internal testing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 &lt; 200ms; MAPE &lt; 10%; passing bias audit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Beta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9–14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to 20 MSAs, SHAP explanations, portal widget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 within-10% rate; A/B test launched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GA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15–18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production launch, SDK, batch API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signed off; monitoring dashboards live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Scale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19–24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Counterfactual API, challenger model, retraining pipeline</w:t>
            </w:r>
          </w:p>
        </w:tc>
        <w:tc>
          <w:tcPr>
            <w:tcW w:type="dxa" w:w="2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retrain validated in staging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Risks &amp; Mitigations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1200"/>
        <w:gridCol w:w="4200"/>
      </w:tblGrid>
      <w:tr>
        <w:trPr>
          <w:tblHeader/>
        </w:trP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MLS data access restrictions</w:t>
            </w:r>
          </w:p>
        </w:tc>
        <w:tc>
          <w:tcPr>
            <w:tcW w:type="dxa" w:w="14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Negotiate data licensing early; fallback to public assessor data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accuracy below target in sparse markets</w:t>
            </w:r>
          </w:p>
        </w:tc>
        <w:tc>
          <w:tcPr>
            <w:tcW w:type="dxa" w:w="14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transaction threshold (500/yr) before market goes live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action on AVM fairness</w:t>
            </w:r>
          </w:p>
        </w:tc>
        <w:tc>
          <w:tcPr>
            <w:tcW w:type="dxa" w:w="14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third-party audit; model cards; legal review pre-launch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SLA breach at peak traffic</w:t>
            </w:r>
          </w:p>
        </w:tc>
        <w:tc>
          <w:tcPr>
            <w:tcW w:type="dxa" w:w="14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 at 3× expected peak; HPA tuning; prediction caching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Covariate drift in volatile markets</w:t>
            </w:r>
          </w:p>
        </w:tc>
        <w:tc>
          <w:tcPr>
            <w:tcW w:type="dxa" w:w="14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monitoring with automatic retrain trigger; CI/CD for models</w:t>
            </w:r>
          </w:p>
        </w:tc>
      </w:tr>
      <w:tr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data poisoning / quality issues</w:t>
            </w:r>
          </w:p>
        </w:tc>
        <w:tc>
          <w:tcPr>
            <w:tcW w:type="dxa" w:w="14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detection in ingestion pipeline; human-in-loop outlier review</w:t>
            </w:r>
          </w:p>
        </w:tc>
      </w:tr>
    </w:tbl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Open Questions &amp; Decisions Required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licensing strategy: Will we negotiate direct MLS feeds or rely on aggregators (CoreLogic, ATTOM)? Decision needed by Week 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hosting: Cloud-provider-specific managed ML (SageMaker, Vertex AI) vs. self-managed Kubernetes? Ops team to recommend by Week 3.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Prediction disclaimer: Legal team to approve consumer-facing language clarifying AVM limitations vs. formal appraisal.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MSA prioritization: Product and business teams to confirm top-20 MSA list based on platform transaction volume.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Retraining cost ceiling: Finance to approve monthly compute budget for automated retraining cycles.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Appendix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 Glossary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AVM</w:t>
            </w:r>
          </w:p>
        </w:tc>
        <w:tc>
          <w:tcPr>
            <w:tcW w:type="dxa" w:w="7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Valuation Model — algorithmic estimate of property market value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</w:t>
            </w:r>
          </w:p>
        </w:tc>
        <w:tc>
          <w:tcPr>
            <w:tcW w:type="dxa" w:w="7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Absolute Percentage Error — average |predicted - actual| / actual × 100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</w:t>
            </w:r>
          </w:p>
        </w:tc>
        <w:tc>
          <w:tcPr>
            <w:tcW w:type="dxa" w:w="7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SHapley Additive exPlanations — method to attribute prediction contributions to each feature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</w:t>
            </w:r>
          </w:p>
        </w:tc>
        <w:tc>
          <w:tcPr>
            <w:tcW w:type="dxa" w:w="7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Population Stability Index — measures distributional shift between training and live data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</w:t>
            </w:r>
          </w:p>
        </w:tc>
        <w:tc>
          <w:tcPr>
            <w:tcW w:type="dxa" w:w="7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Metropolitan Statistical Area — geographic region defined by the U.S. OMB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</w:t>
            </w:r>
          </w:p>
        </w:tc>
        <w:tc>
          <w:tcPr>
            <w:tcW w:type="dxa" w:w="7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Comparative Market Analysis — manual agent-driven property valuation method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HPI</w:t>
            </w:r>
          </w:p>
        </w:tc>
        <w:tc>
          <w:tcPr>
            <w:tcW w:type="dxa" w:w="7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 Price Index — economic indicator measuring residential price changes over time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ECOA</w:t>
            </w:r>
          </w:p>
        </w:tc>
        <w:tc>
          <w:tcPr>
            <w:tcW w:type="dxa" w:w="7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 Credit Opportunity Act — prohibits discrimination in credit-related decisions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APN</w:t>
            </w:r>
          </w:p>
        </w:tc>
        <w:tc>
          <w:tcPr>
            <w:tcW w:type="dxa" w:w="7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Assessor's Parcel Number — unique identifier assigned to each parcel by county assessor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</w:t>
            </w:r>
          </w:p>
        </w:tc>
        <w:tc>
          <w:tcPr>
            <w:tcW w:type="dxa" w:w="7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99th percentile — the value below which 99% of observations fall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Zillow Research: Zestimate Methodology — research.zillow.com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CoreLogic AVM Accuracy Report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FHFA House Price Index Methodology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CFPB ECOA Examination Procedures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Lundberg &amp; Lee (2017): 'A Unified Approach to Interpreting Model Predictions' — SHAP paper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Chen &amp; Guestrin (2016): 'XGBoost: A Scalable Tree Boosting System'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 Document Revision History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520"/>
        <w:gridCol w:w="4320"/>
      </w:tblGrid>
      <w:tr>
        <w:trPr>
          <w:tblHeader/>
        </w:trPr>
        <w:tc>
          <w:tcPr>
            <w:tcW w:type="dxa" w:w="1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3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0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4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25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Platform Team</w:t>
            </w:r>
          </w:p>
        </w:tc>
        <w:tc>
          <w:tcPr>
            <w:tcW w:type="dxa" w:w="43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 for stakeholder review</w:t>
            </w:r>
          </w:p>
        </w:tc>
      </w:tr>
    </w:tbl>
    <w:p>
      <w:pPr>
        <w:spacing w:after="2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808080"/>
        <w:sz w:val="18"/>
        <w:szCs w:val="18"/>
      </w:rPr>
      <w:t xml:space="preserve">ML Platform Team  |  Internal Use Only</w:t>
    </w:r>
    <w:r>
      <w:rPr>
        <w:rFonts w:ascii="Arial" w:cs="Arial" w:eastAsia="Arial" w:hAnsi="Arial"/>
        <w:color w:val="808080"/>
        <w:sz w:val="18"/>
        <w:szCs w:val="18"/>
      </w:rPr>
      <w:t xml:space="preserve">	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808080"/>
        <w:sz w:val="18"/>
        <w:szCs w:val="18"/>
      </w:rPr>
      <w:t xml:space="preserve">CONFIDENTIAL — House Price Prediction Model  |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2026-05-22T14:56:44.305Z</dcterms:created>
  <dcterms:modified xsi:type="dcterms:W3CDTF">2026-05-22T14:56:44.305Z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