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0F5228"/>
          <w:sz w:val="64"/>
          <w:szCs w:val="64"/>
        </w:rPr>
        <w:t xml:space="preserve">BIOZENTRA</w:t>
      </w:r>
    </w:p>
    <w:p>
      <w:pPr>
        <w:spacing w:after="720"/>
        <w:jc w:val="center"/>
      </w:pPr>
      <w:r>
        <w:rPr>
          <w:rFonts w:ascii="Arial" w:cs="Arial" w:eastAsia="Arial" w:hAnsi="Arial"/>
          <w:color w:val="4B5563"/>
          <w:sz w:val="32"/>
          <w:szCs w:val="32"/>
        </w:rPr>
        <w:t xml:space="preserve">Healthcare Management System</w:t>
      </w:r>
    </w:p>
    <w:p>
      <w:pPr>
        <w:pBdr>
          <w:top w:val="single" w:color="0F5228" w:sz="6" w:space="4"/>
          <w:bottom w:val="single" w:color="0F5228" w:sz="6" w:space="4"/>
        </w:pBdr>
        <w:spacing w:after="240" w:before="240"/>
        <w:jc w:val="center"/>
      </w:pPr>
      <w:r>
        <w:rPr>
          <w:rFonts w:ascii="Arial" w:cs="Arial" w:eastAsia="Arial" w:hAnsi="Arial"/>
          <w:b/>
          <w:bCs/>
          <w:color w:val="111827"/>
          <w:sz w:val="48"/>
          <w:szCs w:val="48"/>
        </w:rPr>
        <w:t xml:space="preserve">Software Architecture Document</w:t>
      </w:r>
    </w:p>
    <w:p>
      <w:r>
        <w:t xml:space="preserve"/>
      </w:r>
    </w:p>
    <w:p>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Document Code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BZ-SAD-001</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31 March 2026</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Organisation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Biozentra Healthcare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S-990, Block I, Saadi Garden, Karachi</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pPr>
      <w:r>
        <w:rPr>
          <w:rFonts w:ascii="Arial" w:cs="Arial" w:eastAsia="Arial" w:hAnsi="Arial"/>
          <w:sz w:val="22"/>
          <w:szCs w:val="22"/>
        </w:rPr>
        <w:t xml:space="preserve">This Software Architecture Document (SAD) describes the architectural decisions, system structure, component interactions, and deployment topology of the Biozentra Healthcare Management System (BHMS). It serves as the technical blueprint for development, maintenance, and onboarding.</w:t>
      </w:r>
    </w:p>
    <w:p>
      <w:pPr>
        <w:pStyle w:val="Heading2"/>
      </w:pPr>
      <w:r>
        <w:rPr>
          <w:rFonts w:ascii="Arial" w:cs="Arial" w:eastAsia="Arial" w:hAnsi="Arial"/>
        </w:rPr>
        <w:t xml:space="preserve">1.2 Scope</w:t>
      </w:r>
    </w:p>
    <w:p>
      <w:pPr>
        <w:spacing w:after="120"/>
      </w:pPr>
      <w:r>
        <w:rPr>
          <w:rFonts w:ascii="Arial" w:cs="Arial" w:eastAsia="Arial" w:hAnsi="Arial"/>
          <w:sz w:val="22"/>
          <w:szCs w:val="22"/>
        </w:rPr>
        <w:t xml:space="preserve">This document covers the frontend SPA architecture, backend-as-a-service configuration, database schema, security model, and deployment pipeline.</w:t>
      </w:r>
    </w:p>
    <w:p>
      <w:r>
        <w:br w:type="page"/>
      </w:r>
    </w:p>
    <w:p>
      <w:pPr>
        <w:pStyle w:val="Heading1"/>
      </w:pPr>
      <w:r>
        <w:rPr>
          <w:rFonts w:ascii="Arial" w:cs="Arial" w:eastAsia="Arial" w:hAnsi="Arial"/>
        </w:rPr>
        <w:t xml:space="preserve">2. Architectural Overview</w:t>
      </w:r>
    </w:p>
    <w:p>
      <w:pPr>
        <w:pStyle w:val="Heading2"/>
      </w:pPr>
      <w:r>
        <w:rPr>
          <w:rFonts w:ascii="Arial" w:cs="Arial" w:eastAsia="Arial" w:hAnsi="Arial"/>
        </w:rPr>
        <w:t xml:space="preserve">2.1 Architectural Style</w:t>
      </w:r>
    </w:p>
    <w:p>
      <w:pPr>
        <w:spacing w:after="120"/>
      </w:pPr>
      <w:r>
        <w:rPr>
          <w:rFonts w:ascii="Arial" w:cs="Arial" w:eastAsia="Arial" w:hAnsi="Arial"/>
          <w:sz w:val="22"/>
          <w:szCs w:val="22"/>
        </w:rPr>
        <w:t xml:space="preserve">BHMS follows a Client-Side Rendering (CSR) Single Page Application architecture with a Backend-as-a-Service (BaaS) model. The frontend application communicates directly with Supabase APIs — there is no custom backend server.</w:t>
      </w:r>
    </w:p>
    <w:p>
      <w:pPr>
        <w:pStyle w:val="Heading2"/>
      </w:pPr>
      <w:r>
        <w:rPr>
          <w:rFonts w:ascii="Arial" w:cs="Arial" w:eastAsia="Arial" w:hAnsi="Arial"/>
        </w:rPr>
        <w:t xml:space="preserve">2.2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Frontend Framework</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18 with TypeScript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Build Tool</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 5</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UI Components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ShadCN UI + Radix UI primitives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Styling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Tailwind CSS v3</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State Management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Context API (DataContext, AuthContext, NotificationContext)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Animation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Framer Motion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Routing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Router v6</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Database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(PostgreSQL 17)</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Authentication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GoTrue (JWT)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Realtime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Realtime (WebSocket)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PDF Generation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jsPDF v4 + jspdf-autotable v5</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Hosting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 (Edge Network)</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 Control</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Git / GitHub</w:t>
            </w:r>
          </w:p>
        </w:tc>
      </w:tr>
    </w:tbl>
    <w:p>
      <w:r>
        <w:t xml:space="preserve"/>
      </w:r>
    </w:p>
    <w:p>
      <w:r>
        <w:br w:type="page"/>
      </w:r>
    </w:p>
    <w:p>
      <w:pPr>
        <w:pStyle w:val="Heading1"/>
      </w:pPr>
      <w:r>
        <w:rPr>
          <w:rFonts w:ascii="Arial" w:cs="Arial" w:eastAsia="Arial" w:hAnsi="Arial"/>
        </w:rPr>
        <w:t xml:space="preserve">3. Component Architecture</w:t>
      </w:r>
    </w:p>
    <w:p>
      <w:pPr>
        <w:pStyle w:val="Heading2"/>
      </w:pPr>
      <w:r>
        <w:rPr>
          <w:rFonts w:ascii="Arial" w:cs="Arial" w:eastAsia="Arial" w:hAnsi="Arial"/>
        </w:rPr>
        <w:t xml:space="preserve">3.1 Layer Diagram</w:t>
      </w:r>
    </w:p>
    <w:p>
      <w:pPr>
        <w:spacing w:after="120"/>
      </w:pPr>
      <w:r>
        <w:rPr>
          <w:rFonts w:ascii="Arial" w:cs="Arial" w:eastAsia="Arial" w:hAnsi="Arial"/>
          <w:sz w:val="22"/>
          <w:szCs w:val="22"/>
        </w:rPr>
        <w:t xml:space="preserve">The system is organised into five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Presentation Layer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Pages (Orders, Invoices, Products, Stock, Customers, Suppliers, Expenses, Analytics, Settings, Login)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Component Layer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Reusable UI components: DashboardLayout, AppSidebar, KPICard, Charts, Dialogs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Context / State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DataContext (CRUD + optimistic updates), AuthContext (login/register/reset), NotificationContext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Service Layer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pdfExport.ts (PDF generation), supabase.ts (client init), catalog.ts (product catalog)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Data Layer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PostgreSQL with RLS, localStorage fallback for offline/dev mode</w:t>
            </w:r>
          </w:p>
        </w:tc>
      </w:tr>
    </w:tbl>
    <w:p>
      <w:r>
        <w:t xml:space="preserve"/>
      </w:r>
    </w:p>
    <w:p>
      <w:pPr>
        <w:pStyle w:val="Heading2"/>
      </w:pPr>
      <w:r>
        <w:rPr>
          <w:rFonts w:ascii="Arial" w:cs="Arial" w:eastAsia="Arial" w:hAnsi="Arial"/>
        </w:rPr>
        <w:t xml:space="preserve">3.2 Context Architecture</w:t>
      </w:r>
    </w:p>
    <w:p>
      <w:pPr>
        <w:pStyle w:val="Heading3"/>
      </w:pPr>
      <w:r>
        <w:rPr>
          <w:rFonts w:ascii="Arial" w:cs="Arial" w:eastAsia="Arial" w:hAnsi="Arial"/>
        </w:rPr>
        <w:t xml:space="preserve">DataContext</w:t>
      </w:r>
    </w:p>
    <w:p>
      <w:pPr>
        <w:pStyle w:val="ListParagraph"/>
        <w:numPr>
          <w:ilvl w:val="0"/>
          <w:numId w:val="2"/>
        </w:numPr>
        <w:spacing w:after="80"/>
      </w:pPr>
      <w:r>
        <w:rPr>
          <w:rFonts w:ascii="Arial" w:cs="Arial" w:eastAsia="Arial" w:hAnsi="Arial"/>
          <w:sz w:val="22"/>
          <w:szCs w:val="22"/>
        </w:rPr>
        <w:t xml:space="preserve">Provides products, orders, customers, invoices arrays to all components</w:t>
      </w:r>
    </w:p>
    <w:p>
      <w:pPr>
        <w:pStyle w:val="ListParagraph"/>
        <w:numPr>
          <w:ilvl w:val="0"/>
          <w:numId w:val="2"/>
        </w:numPr>
        <w:spacing w:after="80"/>
      </w:pPr>
      <w:r>
        <w:rPr>
          <w:rFonts w:ascii="Arial" w:cs="Arial" w:eastAsia="Arial" w:hAnsi="Arial"/>
          <w:sz w:val="22"/>
          <w:szCs w:val="22"/>
        </w:rPr>
        <w:t xml:space="preserve">Exposes async CRUD methods: addProduct, updateOrder, deleteInvoice, etc.</w:t>
      </w:r>
    </w:p>
    <w:p>
      <w:pPr>
        <w:pStyle w:val="ListParagraph"/>
        <w:numPr>
          <w:ilvl w:val="0"/>
          <w:numId w:val="2"/>
        </w:numPr>
        <w:spacing w:after="80"/>
      </w:pPr>
      <w:r>
        <w:rPr>
          <w:rFonts w:ascii="Arial" w:cs="Arial" w:eastAsia="Arial" w:hAnsi="Arial"/>
          <w:sz w:val="22"/>
          <w:szCs w:val="22"/>
        </w:rPr>
        <w:t xml:space="preserve">On Supabase mode: writes to DB, updates local state optimistically</w:t>
      </w:r>
    </w:p>
    <w:p>
      <w:pPr>
        <w:pStyle w:val="ListParagraph"/>
        <w:numPr>
          <w:ilvl w:val="0"/>
          <w:numId w:val="2"/>
        </w:numPr>
        <w:spacing w:after="80"/>
      </w:pPr>
      <w:r>
        <w:rPr>
          <w:rFonts w:ascii="Arial" w:cs="Arial" w:eastAsia="Arial" w:hAnsi="Arial"/>
          <w:sz w:val="22"/>
          <w:szCs w:val="22"/>
        </w:rPr>
        <w:t xml:space="preserve">On localStorage mode: persists to browser storage (dev/offline fallback)</w:t>
      </w:r>
    </w:p>
    <w:p>
      <w:pPr>
        <w:pStyle w:val="ListParagraph"/>
        <w:numPr>
          <w:ilvl w:val="0"/>
          <w:numId w:val="2"/>
        </w:numPr>
        <w:spacing w:after="80"/>
      </w:pPr>
      <w:r>
        <w:rPr>
          <w:rFonts w:ascii="Arial" w:cs="Arial" w:eastAsia="Arial" w:hAnsi="Arial"/>
          <w:sz w:val="22"/>
          <w:szCs w:val="22"/>
        </w:rPr>
        <w:t xml:space="preserve">Subscribes to Supabase Realtime for live updates across concurrent sessions</w:t>
      </w:r>
    </w:p>
    <w:p>
      <w:r>
        <w:t xml:space="preserve"/>
      </w:r>
    </w:p>
    <w:p>
      <w:pPr>
        <w:pStyle w:val="Heading3"/>
      </w:pPr>
      <w:r>
        <w:rPr>
          <w:rFonts w:ascii="Arial" w:cs="Arial" w:eastAsia="Arial" w:hAnsi="Arial"/>
        </w:rPr>
        <w:t xml:space="preserve">AuthContext</w:t>
      </w:r>
    </w:p>
    <w:p>
      <w:pPr>
        <w:pStyle w:val="ListParagraph"/>
        <w:numPr>
          <w:ilvl w:val="0"/>
          <w:numId w:val="2"/>
        </w:numPr>
        <w:spacing w:after="80"/>
      </w:pPr>
      <w:r>
        <w:rPr>
          <w:rFonts w:ascii="Arial" w:cs="Arial" w:eastAsia="Arial" w:hAnsi="Arial"/>
          <w:sz w:val="22"/>
          <w:szCs w:val="22"/>
        </w:rPr>
        <w:t xml:space="preserve">Manages isAuthenticated, user state</w:t>
      </w:r>
    </w:p>
    <w:p>
      <w:pPr>
        <w:pStyle w:val="ListParagraph"/>
        <w:numPr>
          <w:ilvl w:val="0"/>
          <w:numId w:val="2"/>
        </w:numPr>
        <w:spacing w:after="80"/>
      </w:pPr>
      <w:r>
        <w:rPr>
          <w:rFonts w:ascii="Arial" w:cs="Arial" w:eastAsia="Arial" w:hAnsi="Arial"/>
          <w:sz w:val="22"/>
          <w:szCs w:val="22"/>
        </w:rPr>
        <w:t xml:space="preserve">login() returns { ok, message } — specific Supabase error messages surfaced</w:t>
      </w:r>
    </w:p>
    <w:p>
      <w:pPr>
        <w:pStyle w:val="ListParagraph"/>
        <w:numPr>
          <w:ilvl w:val="0"/>
          <w:numId w:val="2"/>
        </w:numPr>
        <w:spacing w:after="80"/>
      </w:pPr>
      <w:r>
        <w:rPr>
          <w:rFonts w:ascii="Arial" w:cs="Arial" w:eastAsia="Arial" w:hAnsi="Arial"/>
          <w:sz w:val="22"/>
          <w:szCs w:val="22"/>
        </w:rPr>
        <w:t xml:space="preserve">register() enforces VITE_ALLOWED_EMAIL_DOMAIN whitelist</w:t>
      </w:r>
    </w:p>
    <w:p>
      <w:pPr>
        <w:pStyle w:val="ListParagraph"/>
        <w:numPr>
          <w:ilvl w:val="0"/>
          <w:numId w:val="2"/>
        </w:numPr>
        <w:spacing w:after="80"/>
      </w:pPr>
      <w:r>
        <w:rPr>
          <w:rFonts w:ascii="Arial" w:cs="Arial" w:eastAsia="Arial" w:hAnsi="Arial"/>
          <w:sz w:val="22"/>
          <w:szCs w:val="22"/>
        </w:rPr>
        <w:t xml:space="preserve">Forgot password via Supabase resetPasswordForEmail()</w:t>
      </w:r>
    </w:p>
    <w:p>
      <w:r>
        <w:t xml:space="preserve"/>
      </w:r>
    </w:p>
    <w:p>
      <w:pPr>
        <w:pStyle w:val="Heading2"/>
      </w:pPr>
      <w:r>
        <w:rPr>
          <w:rFonts w:ascii="Arial" w:cs="Arial" w:eastAsia="Arial" w:hAnsi="Arial"/>
        </w:rPr>
        <w:t xml:space="preserve">3.3 Page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Index (Dashboard)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KPI cards, sales trend, inventory chart, recent orders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Orders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/orders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CRUD, line items, discount, stock deduction, issue invoice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Invoices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/invoices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CRUD, PDF export (single + bulk), discount auto-carry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CRUD, category, price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Stock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/stock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CRUD, quantity vs max stock, status badges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CRUD, card layout, order history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Suppliers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/suppliers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CRUD, status, last order date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Expenses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/expenses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entry, 11 categories, monthly stats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Analytics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/analytics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Revenue growth, order volume, inventory by medicine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Settings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/settings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Company profile, currency, theme, notifications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Login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/login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Sign in, forgot password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 Password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/reset-password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password reset callback</w:t>
            </w:r>
          </w:p>
        </w:tc>
      </w:tr>
    </w:tbl>
    <w:p>
      <w:r>
        <w:t xml:space="preserve"/>
      </w:r>
    </w:p>
    <w:p>
      <w:r>
        <w:br w:type="page"/>
      </w:r>
    </w:p>
    <w:p>
      <w:pPr>
        <w:pStyle w:val="Heading1"/>
      </w:pPr>
      <w:r>
        <w:rPr>
          <w:rFonts w:ascii="Arial" w:cs="Arial" w:eastAsia="Arial" w:hAnsi="Arial"/>
        </w:rPr>
        <w:t xml:space="preserve">4. Database Schema</w:t>
      </w:r>
    </w:p>
    <w:p>
      <w:pPr>
        <w:pStyle w:val="Heading2"/>
      </w:pPr>
      <w:r>
        <w:rPr>
          <w:rFonts w:ascii="Arial" w:cs="Arial" w:eastAsia="Arial" w:hAnsi="Arial"/>
        </w:rPr>
        <w:t xml:space="preserve">4.1 Tables</w:t>
      </w:r>
    </w:p>
    <w:p>
      <w:pPr>
        <w:pStyle w:val="Heading3"/>
      </w:pPr>
      <w:r>
        <w:rPr>
          <w:rFonts w:ascii="Arial" w:cs="Arial" w:eastAsia="Arial" w:hAnsi="Arial"/>
        </w:rPr>
        <w:t xml:space="preserve">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BIGSERIAL PRIMARY KEY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name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category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price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 NOT NULL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stock</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NOT NULL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'In Stock'</w:t>
            </w:r>
          </w:p>
        </w:tc>
      </w:tr>
    </w:tbl>
    <w:p>
      <w:r>
        <w:t xml:space="preserve"/>
      </w:r>
    </w:p>
    <w:p>
      <w:pPr>
        <w:pStyle w:val="Heading3"/>
      </w:pPr>
      <w:r>
        <w:rPr>
          <w:rFonts w:ascii="Arial" w:cs="Arial" w:eastAsia="Arial" w:hAnsi="Arial"/>
        </w:rPr>
        <w:t xml:space="preserv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PRIMARY KEY (ORD-YYYY-XXXXXX)</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customer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products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total</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 NOT NULL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'Pending'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line_items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JSONB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discount_pct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created_at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bl>
    <w:p>
      <w:r>
        <w:t xml:space="preserve"/>
      </w:r>
    </w:p>
    <w:p>
      <w:pPr>
        <w:pStyle w:val="Heading3"/>
      </w:pPr>
      <w:r>
        <w:rPr>
          <w:rFonts w:ascii="Arial" w:cs="Arial" w:eastAsia="Arial" w:hAnsi="Arial"/>
        </w:rPr>
        <w:t xml:space="preserve">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PRIMARY KEY (INV-YYYY-XXXXXX)</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customer</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due_date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amount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 NOT NULL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'Pending'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discount_pct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created_at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bl>
    <w:p>
      <w:r>
        <w:t xml:space="preserve"/>
      </w:r>
    </w:p>
    <w:p>
      <w:pPr>
        <w:pStyle w:val="Heading3"/>
      </w:pPr>
      <w:r>
        <w:rPr>
          <w:rFonts w:ascii="Arial" w:cs="Arial" w:eastAsia="Arial" w:hAnsi="Arial"/>
        </w:rPr>
        <w:t xml:space="preserve">customers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BIGSERIAL PRIMARY KEY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name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contact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phone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location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DEFAULT ''</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orders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DEFAULT 0</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total_spent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 DEFAULT 0</w:t>
            </w:r>
          </w:p>
        </w:tc>
      </w:tr>
    </w:tbl>
    <w:p>
      <w:r>
        <w:t xml:space="preserve"/>
      </w:r>
    </w:p>
    <w:p>
      <w:pPr>
        <w:pStyle w:val="Heading2"/>
      </w:pPr>
      <w:r>
        <w:rPr>
          <w:rFonts w:ascii="Arial" w:cs="Arial" w:eastAsia="Arial" w:hAnsi="Arial"/>
        </w:rPr>
        <w:t xml:space="preserve">4.2 Row Level Security</w:t>
      </w:r>
    </w:p>
    <w:p>
      <w:pPr>
        <w:spacing w:after="120"/>
      </w:pPr>
      <w:r>
        <w:rPr>
          <w:rFonts w:ascii="Arial" w:cs="Arial" w:eastAsia="Arial" w:hAnsi="Arial"/>
          <w:sz w:val="22"/>
          <w:szCs w:val="22"/>
        </w:rPr>
        <w:t xml:space="preserve">All tables have open RLS policies for authenticated users:</w:t>
      </w:r>
    </w:p>
    <w:p>
      <w:pPr>
        <w:pStyle w:val="ListParagraph"/>
        <w:numPr>
          <w:ilvl w:val="0"/>
          <w:numId w:val="2"/>
        </w:numPr>
        <w:spacing w:after="80"/>
      </w:pPr>
      <w:r>
        <w:rPr>
          <w:rFonts w:ascii="Arial" w:cs="Arial" w:eastAsia="Arial" w:hAnsi="Arial"/>
          <w:sz w:val="22"/>
          <w:szCs w:val="22"/>
        </w:rPr>
        <w:t xml:space="preserve">FOR ALL USING (true) WITH CHECK (true)</w:t>
      </w:r>
    </w:p>
    <w:p>
      <w:pPr>
        <w:spacing w:after="120"/>
      </w:pPr>
      <w:r>
        <w:rPr>
          <w:rFonts w:ascii="Arial" w:cs="Arial" w:eastAsia="Arial" w:hAnsi="Arial"/>
          <w:sz w:val="22"/>
          <w:szCs w:val="22"/>
        </w:rPr>
        <w:t xml:space="preserve">This allows any authenticated user to read and write all rows. Future versions should restrict write access to specific roles.</w:t>
      </w:r>
    </w:p>
    <w:p>
      <w:pPr>
        <w:pStyle w:val="Heading2"/>
      </w:pPr>
      <w:r>
        <w:rPr>
          <w:rFonts w:ascii="Arial" w:cs="Arial" w:eastAsia="Arial" w:hAnsi="Arial"/>
        </w:rPr>
        <w:t xml:space="preserve">4.3 Key Database Triggers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auto_confirm_on_signup</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BEFORE INSERT on auth.users — sets email_confirmed_at = NOW() so new accounts can log in immediately without email verification.</w:t>
            </w:r>
          </w:p>
        </w:tc>
      </w:tr>
    </w:tbl>
    <w:p>
      <w:r>
        <w:t xml:space="preserve"/>
      </w:r>
    </w:p>
    <w:p>
      <w:r>
        <w:br w:type="page"/>
      </w:r>
    </w:p>
    <w:p>
      <w:pPr>
        <w:pStyle w:val="Heading1"/>
      </w:pPr>
      <w:r>
        <w:rPr>
          <w:rFonts w:ascii="Arial" w:cs="Arial" w:eastAsia="Arial" w:hAnsi="Arial"/>
        </w:rPr>
        <w:t xml:space="preserve">5. Security Architecture</w:t>
      </w:r>
    </w:p>
    <w:p>
      <w:pPr>
        <w:pStyle w:val="Heading2"/>
      </w:pPr>
      <w:r>
        <w:rPr>
          <w:rFonts w:ascii="Arial" w:cs="Arial" w:eastAsia="Arial" w:hAnsi="Arial"/>
        </w:rPr>
        <w:t xml:space="preserve">5.1 Authentication Flow</w:t>
      </w:r>
    </w:p>
    <w:p>
      <w:pPr>
        <w:pStyle w:val="ListParagraph"/>
        <w:numPr>
          <w:ilvl w:val="0"/>
          <w:numId w:val="3"/>
        </w:numPr>
        <w:spacing w:after="80"/>
      </w:pPr>
      <w:r>
        <w:rPr>
          <w:rFonts w:ascii="Arial" w:cs="Arial" w:eastAsia="Arial" w:hAnsi="Arial"/>
          <w:sz w:val="22"/>
          <w:szCs w:val="22"/>
        </w:rPr>
        <w:t xml:space="preserve">User submits email + password on Login page</w:t>
      </w:r>
    </w:p>
    <w:p>
      <w:pPr>
        <w:pStyle w:val="ListParagraph"/>
        <w:numPr>
          <w:ilvl w:val="0"/>
          <w:numId w:val="3"/>
        </w:numPr>
        <w:spacing w:after="80"/>
      </w:pPr>
      <w:r>
        <w:rPr>
          <w:rFonts w:ascii="Arial" w:cs="Arial" w:eastAsia="Arial" w:hAnsi="Arial"/>
          <w:sz w:val="22"/>
          <w:szCs w:val="22"/>
        </w:rPr>
        <w:t xml:space="preserve">AuthContext calls supabase.auth.signInWithPassword()</w:t>
      </w:r>
    </w:p>
    <w:p>
      <w:pPr>
        <w:pStyle w:val="ListParagraph"/>
        <w:numPr>
          <w:ilvl w:val="0"/>
          <w:numId w:val="3"/>
        </w:numPr>
        <w:spacing w:after="80"/>
      </w:pPr>
      <w:r>
        <w:rPr>
          <w:rFonts w:ascii="Arial" w:cs="Arial" w:eastAsia="Arial" w:hAnsi="Arial"/>
          <w:sz w:val="22"/>
          <w:szCs w:val="22"/>
        </w:rPr>
        <w:t xml:space="preserve">Supabase GoTrue validates credentials, returns JWT</w:t>
      </w:r>
    </w:p>
    <w:p>
      <w:pPr>
        <w:pStyle w:val="ListParagraph"/>
        <w:numPr>
          <w:ilvl w:val="0"/>
          <w:numId w:val="3"/>
        </w:numPr>
        <w:spacing w:after="80"/>
      </w:pPr>
      <w:r>
        <w:rPr>
          <w:rFonts w:ascii="Arial" w:cs="Arial" w:eastAsia="Arial" w:hAnsi="Arial"/>
          <w:sz w:val="22"/>
          <w:szCs w:val="22"/>
        </w:rPr>
        <w:t xml:space="preserve">JWT stored in localStorage by Supabase client</w:t>
      </w:r>
    </w:p>
    <w:p>
      <w:pPr>
        <w:pStyle w:val="ListParagraph"/>
        <w:numPr>
          <w:ilvl w:val="0"/>
          <w:numId w:val="3"/>
        </w:numPr>
        <w:spacing w:after="80"/>
      </w:pPr>
      <w:r>
        <w:rPr>
          <w:rFonts w:ascii="Arial" w:cs="Arial" w:eastAsia="Arial" w:hAnsi="Arial"/>
          <w:sz w:val="22"/>
          <w:szCs w:val="22"/>
        </w:rPr>
        <w:t xml:space="preserve">All subsequent API requests include JWT in Authorization header</w:t>
      </w:r>
    </w:p>
    <w:p>
      <w:pPr>
        <w:pStyle w:val="ListParagraph"/>
        <w:numPr>
          <w:ilvl w:val="0"/>
          <w:numId w:val="3"/>
        </w:numPr>
        <w:spacing w:after="80"/>
      </w:pPr>
      <w:r>
        <w:rPr>
          <w:rFonts w:ascii="Arial" w:cs="Arial" w:eastAsia="Arial" w:hAnsi="Arial"/>
          <w:sz w:val="22"/>
          <w:szCs w:val="22"/>
        </w:rPr>
        <w:t xml:space="preserve">Supabase RLS validates JWT on every database operation</w:t>
      </w:r>
    </w:p>
    <w:p>
      <w:r>
        <w:t xml:space="preserve"/>
      </w:r>
    </w:p>
    <w:p>
      <w:pPr>
        <w:pStyle w:val="Heading2"/>
      </w:pPr>
      <w:r>
        <w:rPr>
          <w:rFonts w:ascii="Arial" w:cs="Arial" w:eastAsia="Arial" w:hAnsi="Arial"/>
        </w:rPr>
        <w:t xml:space="preserve">5.2 Domain Whitelisting</w:t>
      </w:r>
    </w:p>
    <w:p>
      <w:pPr>
        <w:spacing w:after="120"/>
      </w:pPr>
      <w:r>
        <w:rPr>
          <w:rFonts w:ascii="Arial" w:cs="Arial" w:eastAsia="Arial" w:hAnsi="Arial"/>
          <w:sz w:val="22"/>
          <w:szCs w:val="22"/>
        </w:rPr>
        <w:t xml:space="preserve">The VITE_ALLOWED_EMAIL_DOMAIN environment variable (set to biozentra.pk) restricts registration. Checked client-side before any Supabase call. Non-matching domains silently fail without revealing the restriction.</w:t>
      </w:r>
    </w:p>
    <w:p>
      <w:pPr>
        <w:pStyle w:val="Heading2"/>
      </w:pPr>
      <w:r>
        <w:rPr>
          <w:rFonts w:ascii="Arial" w:cs="Arial" w:eastAsia="Arial" w:hAnsi="Arial"/>
        </w:rPr>
        <w:t xml:space="preserve">5.3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VITE_SUPABASE_URL</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project URL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VITE_SUPABASE_ANON_KEY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public anon key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VITE_ALLOWED_EMAIL_DOMAIN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Allowed email domain for registration (biozentra.pk)</w:t>
            </w:r>
          </w:p>
        </w:tc>
      </w:tr>
    </w:tbl>
    <w:p>
      <w:r>
        <w:t xml:space="preserve"/>
      </w:r>
    </w:p>
    <w:p>
      <w:r>
        <w:br w:type="page"/>
      </w:r>
    </w:p>
    <w:p>
      <w:pPr>
        <w:pStyle w:val="Heading1"/>
      </w:pPr>
      <w:r>
        <w:rPr>
          <w:rFonts w:ascii="Arial" w:cs="Arial" w:eastAsia="Arial" w:hAnsi="Arial"/>
        </w:rPr>
        <w:t xml:space="preserve">6. Deployment Architecture</w:t>
      </w:r>
    </w:p>
    <w:p>
      <w:pPr>
        <w:pStyle w:val="Heading2"/>
      </w:pPr>
      <w:r>
        <w:rPr>
          <w:rFonts w:ascii="Arial" w:cs="Arial" w:eastAsia="Arial" w:hAnsi="Arial"/>
        </w:rPr>
        <w:t xml:space="preserve">6.1 CI/CD Pipeline</w:t>
      </w:r>
    </w:p>
    <w:p>
      <w:pPr>
        <w:pStyle w:val="ListParagraph"/>
        <w:numPr>
          <w:ilvl w:val="0"/>
          <w:numId w:val="3"/>
        </w:numPr>
        <w:spacing w:after="80"/>
      </w:pPr>
      <w:r>
        <w:rPr>
          <w:rFonts w:ascii="Arial" w:cs="Arial" w:eastAsia="Arial" w:hAnsi="Arial"/>
          <w:sz w:val="22"/>
          <w:szCs w:val="22"/>
        </w:rPr>
        <w:t xml:space="preserve">Developer commits code to main branch on GitHub</w:t>
      </w:r>
    </w:p>
    <w:p>
      <w:pPr>
        <w:pStyle w:val="ListParagraph"/>
        <w:numPr>
          <w:ilvl w:val="0"/>
          <w:numId w:val="3"/>
        </w:numPr>
        <w:spacing w:after="80"/>
      </w:pPr>
      <w:r>
        <w:rPr>
          <w:rFonts w:ascii="Arial" w:cs="Arial" w:eastAsia="Arial" w:hAnsi="Arial"/>
          <w:sz w:val="22"/>
          <w:szCs w:val="22"/>
        </w:rPr>
        <w:t xml:space="preserve">Vercel webhook detects push, triggers build</w:t>
      </w:r>
    </w:p>
    <w:p>
      <w:pPr>
        <w:pStyle w:val="ListParagraph"/>
        <w:numPr>
          <w:ilvl w:val="0"/>
          <w:numId w:val="3"/>
        </w:numPr>
        <w:spacing w:after="80"/>
      </w:pPr>
      <w:r>
        <w:rPr>
          <w:rFonts w:ascii="Arial" w:cs="Arial" w:eastAsia="Arial" w:hAnsi="Arial"/>
          <w:sz w:val="22"/>
          <w:szCs w:val="22"/>
        </w:rPr>
        <w:t xml:space="preserve">Vite builds optimised static bundle</w:t>
      </w:r>
    </w:p>
    <w:p>
      <w:pPr>
        <w:pStyle w:val="ListParagraph"/>
        <w:numPr>
          <w:ilvl w:val="0"/>
          <w:numId w:val="3"/>
        </w:numPr>
        <w:spacing w:after="80"/>
      </w:pPr>
      <w:r>
        <w:rPr>
          <w:rFonts w:ascii="Arial" w:cs="Arial" w:eastAsia="Arial" w:hAnsi="Arial"/>
          <w:sz w:val="22"/>
          <w:szCs w:val="22"/>
        </w:rPr>
        <w:t xml:space="preserve">Vercel deploys bundle to global Edge Network</w:t>
      </w:r>
    </w:p>
    <w:p>
      <w:pPr>
        <w:pStyle w:val="ListParagraph"/>
        <w:numPr>
          <w:ilvl w:val="0"/>
          <w:numId w:val="3"/>
        </w:numPr>
        <w:spacing w:after="80"/>
      </w:pPr>
      <w:r>
        <w:rPr>
          <w:rFonts w:ascii="Arial" w:cs="Arial" w:eastAsia="Arial" w:hAnsi="Arial"/>
          <w:sz w:val="22"/>
          <w:szCs w:val="22"/>
        </w:rPr>
        <w:t xml:space="preserve">Live URL updates automatically (no manual steps)</w:t>
      </w:r>
    </w:p>
    <w:p>
      <w:r>
        <w:t xml:space="preserve"/>
      </w:r>
    </w:p>
    <w:p>
      <w:pPr>
        <w:pStyle w:val="Heading2"/>
      </w:pPr>
      <w:r>
        <w:rPr>
          <w:rFonts w:ascii="Arial" w:cs="Arial" w:eastAsia="Arial" w:hAnsi="Arial"/>
        </w:rPr>
        <w:t xml:space="preserve">6.2 Environments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URL / 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Production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https://biozentra-health-care.vercel.app — live deployment from main branch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Development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http://localhost:8080 — local Vite dev server, uses same Supabase project</w:t>
            </w:r>
          </w:p>
        </w:tc>
      </w:tr>
    </w:tbl>
    <w:p>
      <w:r>
        <w:t xml:space="preserve"/>
      </w:r>
    </w:p>
    <w:p>
      <w:pPr>
        <w:pStyle w:val="Heading2"/>
      </w:pPr>
      <w:r>
        <w:rPr>
          <w:rFonts w:ascii="Arial" w:cs="Arial" w:eastAsia="Arial" w:hAnsi="Arial"/>
        </w:rPr>
        <w:t xml:space="preserve">6.3 Data Persistence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400"/>
            <w:tcBorders>
              <w:top w:val="single" w:color="D1D5DB" w:sz="1"/>
              <w:left w:val="single" w:color="D1D5DB" w:sz="1"/>
              <w:bottom w:val="single" w:color="D1D5DB" w:sz="1"/>
              <w:right w:val="single" w:color="D1D5DB" w:sz="1"/>
            </w:tcBorders>
            <w:shd w:fill="0F52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Primary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PostgreSQL — used when VITE_SUPABASE_URL is configured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Fallback</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Browser localStorage — used in dev/offline; keys prefixed biozentra-ctx-*</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9CA3AF"/>
        <w:sz w:val="16"/>
        <w:szCs w:val="16"/>
      </w:rPr>
      <w:t xml:space="preserve">Biozentra Healthcare  |  Confidential &amp; Proprietary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228" w:sz="4" w:space="4"/>
      </w:pBdr>
    </w:pPr>
    <w:r>
      <w:rPr>
        <w:rFonts w:ascii="Arial" w:cs="Arial" w:eastAsia="Arial" w:hAnsi="Arial"/>
        <w:b/>
        <w:bCs/>
        <w:color w:val="0F5228"/>
        <w:sz w:val="18"/>
        <w:szCs w:val="18"/>
      </w:rPr>
      <w:t xml:space="preserve">BIOZENTRA Healthcare Management System</w:t>
    </w:r>
    <w:r>
      <w:rPr>
        <w:rFonts w:ascii="Arial" w:cs="Arial" w:eastAsia="Arial" w:hAnsi="Arial"/>
        <w:color w:val="6B7280"/>
        <w:sz w:val="18"/>
        <w:szCs w:val="18"/>
      </w:rPr>
      <w:t xml:space="preserve">   |   Software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228" w:sz="4" w:space="4"/>
      </w:pBdr>
      <w:spacing w:after="120" w:before="360"/>
      <w:outlineLvl w:val="0"/>
    </w:pPr>
    <w:rPr>
      <w:rFonts w:ascii="Arial" w:cs="Arial" w:eastAsia="Arial" w:hAnsi="Arial"/>
      <w:b/>
      <w:bCs/>
      <w:color w:val="0F522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6653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2026-03-31T14:50:57.897Z</dcterms:created>
  <dcterms:modified xsi:type="dcterms:W3CDTF">2026-03-31T14:50:57.897Z</dcterms:modified>
</cp:coreProperties>
</file>

<file path=docProps/custom.xml><?xml version="1.0" encoding="utf-8"?>
<Properties xmlns="http://schemas.openxmlformats.org/officeDocument/2006/custom-properties" xmlns:vt="http://schemas.openxmlformats.org/officeDocument/2006/docPropsVTypes"/>
</file>