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5F"/>
          <w:sz w:val="40"/>
          <w:szCs w:val="40"/>
        </w:rPr>
        <w:t xml:space="preserve">ShiftSync — Brief Documentation</w:t>
      </w:r>
    </w:p>
    <w:p>
      <w:pPr>
        <w:spacing w:after="320"/>
      </w:pPr>
      <w:r>
        <w:rPr>
          <w:rFonts w:ascii="Calibri" w:cs="Calibri" w:eastAsia="Calibri" w:hAnsi="Calibri"/>
          <w:color w:val="595959"/>
          <w:sz w:val="20"/>
          <w:szCs w:val="20"/>
        </w:rPr>
        <w:t xml:space="preserve">Priority Soft full-stack assessment · Hamza Altaf</w:t>
      </w:r>
    </w:p>
    <w:tbl>
      <w:tblPr>
        <w:tblW w:type="pct" w:w="100%"/>
        <w:tblBorders>
          <w:top w:val="single" w:color="C9D6DB" w:sz="2"/>
          <w:left w:val="single" w:color="C9D6DB" w:sz="2"/>
          <w:bottom w:val="single" w:color="C9D6DB" w:sz="2"/>
          <w:right w:val="single" w:color="C9D6DB" w:sz="2"/>
          <w:insideH w:val="single" w:color="C9D6DB" w:sz="2"/>
          <w:insideV w:val="single" w:color="C9D6DB" w:sz="2"/>
        </w:tblBorders>
      </w:tblPr>
      <w:tblGrid>
        <w:gridCol w:w="100"/>
        <w:gridCol w:w="100"/>
      </w:tblGrid>
      <w:tr>
        <w:trPr>
          <w:tblHeader/>
        </w:trPr>
        <w:tc>
          <w:tcPr>
            <w:tcW w:type="pct" w:w="18%"/>
            <w:shd w:fill="EEF3F5"/>
            <w:tcMar>
              <w:top w:type="dxa" w:w="80"/>
              <w:left w:type="dxa" w:w="120"/>
              <w:bottom w:type="dxa" w:w="80"/>
              <w:right w:type="dxa" w:w="120"/>
            </w:tcMar>
          </w:tcPr>
          <w:p>
            <w:pPr>
              <w:spacing w:after="0" w:line="260"/>
            </w:pPr>
            <w:r>
              <w:rPr>
                <w:rFonts w:ascii="Calibri" w:cs="Calibri" w:eastAsia="Calibri" w:hAnsi="Calibri"/>
                <w:b/>
                <w:bCs/>
                <w:color w:val="1F4E5F"/>
                <w:sz w:val="20"/>
                <w:szCs w:val="20"/>
              </w:rPr>
              <w:t xml:space="preserve"/>
            </w:r>
          </w:p>
        </w:tc>
        <w:tc>
          <w:tcPr>
            <w:tcW w:type="pct" w:w="82%"/>
            <w:shd w:fill="EEF3F5"/>
            <w:tcMar>
              <w:top w:type="dxa" w:w="80"/>
              <w:left w:type="dxa" w:w="120"/>
              <w:bottom w:type="dxa" w:w="80"/>
              <w:right w:type="dxa" w:w="120"/>
            </w:tcMar>
          </w:tcPr>
          <w:p>
            <w:pPr>
              <w:spacing w:after="0" w:line="260"/>
            </w:pPr>
            <w:r>
              <w:rPr>
                <w:rFonts w:ascii="Calibri" w:cs="Calibri" w:eastAsia="Calibri" w:hAnsi="Calibri"/>
                <w:b/>
                <w:bCs/>
                <w:color w:val="1F4E5F"/>
                <w:sz w:val="20"/>
                <w:szCs w:val="20"/>
              </w:rPr>
              <w:t xml:space="preserve"/>
            </w:r>
          </w:p>
        </w:tc>
      </w:tr>
      <w:tr>
        <w:tc>
          <w:tcPr>
            <w:tcW w:type="pct" w:w="18%"/>
            <w:tcMar>
              <w:top w:type="dxa" w:w="80"/>
              <w:left w:type="dxa" w:w="120"/>
              <w:bottom w:type="dxa" w:w="80"/>
              <w:right w:type="dxa" w:w="120"/>
            </w:tcMar>
          </w:tcPr>
          <w:p>
            <w:pPr>
              <w:spacing w:after="0" w:line="260"/>
            </w:pPr>
            <w:r>
              <w:rPr>
                <w:rFonts w:ascii="Calibri" w:cs="Calibri" w:eastAsia="Calibri" w:hAnsi="Calibri"/>
                <w:b/>
                <w:bCs/>
                <w:sz w:val="20"/>
                <w:szCs w:val="20"/>
              </w:rPr>
              <w:t xml:space="preserve">Live app</w:t>
            </w:r>
          </w:p>
        </w:tc>
        <w:tc>
          <w:tcPr>
            <w:tcW w:type="pct" w:w="82%"/>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https://shiftsync-two-sigma.vercel.app</w:t>
            </w:r>
          </w:p>
        </w:tc>
      </w:tr>
      <w:tr>
        <w:tc>
          <w:tcPr>
            <w:tcW w:type="pct" w:w="18%"/>
            <w:tcMar>
              <w:top w:type="dxa" w:w="80"/>
              <w:left w:type="dxa" w:w="120"/>
              <w:bottom w:type="dxa" w:w="80"/>
              <w:right w:type="dxa" w:w="120"/>
            </w:tcMar>
          </w:tcPr>
          <w:p>
            <w:pPr>
              <w:spacing w:after="0" w:line="260"/>
            </w:pPr>
            <w:r>
              <w:rPr>
                <w:rFonts w:ascii="Calibri" w:cs="Calibri" w:eastAsia="Calibri" w:hAnsi="Calibri"/>
                <w:b/>
                <w:bCs/>
                <w:sz w:val="20"/>
                <w:szCs w:val="20"/>
              </w:rPr>
              <w:t xml:space="preserve">Source</w:t>
            </w:r>
          </w:p>
        </w:tc>
        <w:tc>
          <w:tcPr>
            <w:tcW w:type="pct" w:w="82%"/>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https://github.com/muhammadhamza455/shiftsync</w:t>
            </w:r>
          </w:p>
        </w:tc>
      </w:tr>
    </w:tbl>
    <w:p>
      <w:pPr>
        <w:spacing w:after="160"/>
      </w:pPr>
    </w:p>
    <w:p>
      <w:pPr>
        <w:spacing w:after="160" w:line="280"/>
      </w:pPr>
      <w:r>
        <w:rPr>
          <w:rFonts w:ascii="Calibri" w:cs="Calibri" w:eastAsia="Calibri" w:hAnsi="Calibri"/>
          <w:sz w:val="21"/>
          <w:szCs w:val="21"/>
        </w:rPr>
        <w:t xml:space="preserve">ShiftSync schedules staff across four Coastal Eats restaurants in two timezones. The seed data is live on the URL above — no setup is needed to review it. Running it locally is covered in the README.</w:t>
      </w:r>
    </w:p>
    <w:p>
      <w:pPr>
        <w:pStyle w:val="Heading2"/>
        <w:spacing w:after="140" w:before="320"/>
      </w:pPr>
      <w:r>
        <w:rPr>
          <w:rFonts w:ascii="Calibri" w:cs="Calibri" w:eastAsia="Calibri" w:hAnsi="Calibri"/>
          <w:b/>
          <w:bCs/>
          <w:color w:val="1F4E5F"/>
          <w:sz w:val="26"/>
          <w:szCs w:val="26"/>
        </w:rPr>
        <w:t xml:space="preserve">The four locations</w:t>
      </w:r>
    </w:p>
    <w:tbl>
      <w:tblPr>
        <w:tblW w:type="pct" w:w="100%"/>
        <w:tblBorders>
          <w:top w:val="single" w:color="C9D6DB" w:sz="2"/>
          <w:left w:val="single" w:color="C9D6DB" w:sz="2"/>
          <w:bottom w:val="single" w:color="C9D6DB" w:sz="2"/>
          <w:right w:val="single" w:color="C9D6DB" w:sz="2"/>
          <w:insideH w:val="single" w:color="C9D6DB" w:sz="2"/>
          <w:insideV w:val="single" w:color="C9D6DB" w:sz="2"/>
        </w:tblBorders>
      </w:tblPr>
      <w:tblGrid>
        <w:gridCol w:w="100"/>
        <w:gridCol w:w="100"/>
        <w:gridCol w:w="100"/>
      </w:tblGrid>
      <w:tr>
        <w:trPr>
          <w:tblHeader/>
        </w:trPr>
        <w:tc>
          <w:tcPr>
            <w:tcW w:type="pct" w:w="28%"/>
            <w:shd w:fill="EEF3F5"/>
            <w:tcMar>
              <w:top w:type="dxa" w:w="80"/>
              <w:left w:type="dxa" w:w="120"/>
              <w:bottom w:type="dxa" w:w="80"/>
              <w:right w:type="dxa" w:w="120"/>
            </w:tcMar>
          </w:tcPr>
          <w:p>
            <w:pPr>
              <w:spacing w:after="0" w:line="260"/>
            </w:pPr>
            <w:r>
              <w:rPr>
                <w:rFonts w:ascii="Calibri" w:cs="Calibri" w:eastAsia="Calibri" w:hAnsi="Calibri"/>
                <w:b/>
                <w:bCs/>
                <w:color w:val="1F4E5F"/>
                <w:sz w:val="20"/>
                <w:szCs w:val="20"/>
              </w:rPr>
              <w:t xml:space="preserve">Location</w:t>
            </w:r>
          </w:p>
        </w:tc>
        <w:tc>
          <w:tcPr>
            <w:tcW w:type="pct" w:w="30%"/>
            <w:shd w:fill="EEF3F5"/>
            <w:tcMar>
              <w:top w:type="dxa" w:w="80"/>
              <w:left w:type="dxa" w:w="120"/>
              <w:bottom w:type="dxa" w:w="80"/>
              <w:right w:type="dxa" w:w="120"/>
            </w:tcMar>
          </w:tcPr>
          <w:p>
            <w:pPr>
              <w:spacing w:after="0" w:line="260"/>
            </w:pPr>
            <w:r>
              <w:rPr>
                <w:rFonts w:ascii="Calibri" w:cs="Calibri" w:eastAsia="Calibri" w:hAnsi="Calibri"/>
                <w:b/>
                <w:bCs/>
                <w:color w:val="1F4E5F"/>
                <w:sz w:val="20"/>
                <w:szCs w:val="20"/>
              </w:rPr>
              <w:t xml:space="preserve">Where</w:t>
            </w:r>
          </w:p>
        </w:tc>
        <w:tc>
          <w:tcPr>
            <w:tcW w:type="pct" w:w="42%"/>
            <w:shd w:fill="EEF3F5"/>
            <w:tcMar>
              <w:top w:type="dxa" w:w="80"/>
              <w:left w:type="dxa" w:w="120"/>
              <w:bottom w:type="dxa" w:w="80"/>
              <w:right w:type="dxa" w:w="120"/>
            </w:tcMar>
          </w:tcPr>
          <w:p>
            <w:pPr>
              <w:spacing w:after="0" w:line="260"/>
            </w:pPr>
            <w:r>
              <w:rPr>
                <w:rFonts w:ascii="Calibri" w:cs="Calibri" w:eastAsia="Calibri" w:hAnsi="Calibri"/>
                <w:b/>
                <w:bCs/>
                <w:color w:val="1F4E5F"/>
                <w:sz w:val="20"/>
                <w:szCs w:val="20"/>
              </w:rPr>
              <w:t xml:space="preserve">Timezone</w:t>
            </w:r>
          </w:p>
        </w:tc>
      </w:tr>
      <w:tr>
        <w:tc>
          <w:tcPr>
            <w:tcW w:type="pct" w:w="28%"/>
            <w:tcMar>
              <w:top w:type="dxa" w:w="80"/>
              <w:left w:type="dxa" w:w="120"/>
              <w:bottom w:type="dxa" w:w="80"/>
              <w:right w:type="dxa" w:w="120"/>
            </w:tcMar>
          </w:tcPr>
          <w:p>
            <w:pPr>
              <w:spacing w:after="0" w:line="260"/>
            </w:pPr>
            <w:r>
              <w:rPr>
                <w:rFonts w:ascii="Calibri" w:cs="Calibri" w:eastAsia="Calibri" w:hAnsi="Calibri"/>
                <w:b/>
                <w:bCs/>
                <w:sz w:val="20"/>
                <w:szCs w:val="20"/>
              </w:rPr>
              <w:t xml:space="preserve">Santa Monica</w:t>
            </w:r>
          </w:p>
        </w:tc>
        <w:tc>
          <w:tcPr>
            <w:tcW w:type="pct" w:w="3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Santa Monica, CA</w:t>
            </w:r>
          </w:p>
        </w:tc>
        <w:tc>
          <w:tcPr>
            <w:tcW w:type="pct" w:w="42%"/>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America/Los_Angeles (Pacific)</w:t>
            </w:r>
          </w:p>
        </w:tc>
      </w:tr>
      <w:tr>
        <w:tc>
          <w:tcPr>
            <w:tcW w:type="pct" w:w="28%"/>
            <w:tcMar>
              <w:top w:type="dxa" w:w="80"/>
              <w:left w:type="dxa" w:w="120"/>
              <w:bottom w:type="dxa" w:w="80"/>
              <w:right w:type="dxa" w:w="120"/>
            </w:tcMar>
          </w:tcPr>
          <w:p>
            <w:pPr>
              <w:spacing w:after="0" w:line="260"/>
            </w:pPr>
            <w:r>
              <w:rPr>
                <w:rFonts w:ascii="Calibri" w:cs="Calibri" w:eastAsia="Calibri" w:hAnsi="Calibri"/>
                <w:b/>
                <w:bCs/>
                <w:sz w:val="20"/>
                <w:szCs w:val="20"/>
              </w:rPr>
              <w:t xml:space="preserve">Portland Pearl</w:t>
            </w:r>
          </w:p>
        </w:tc>
        <w:tc>
          <w:tcPr>
            <w:tcW w:type="pct" w:w="3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Portland, OR</w:t>
            </w:r>
          </w:p>
        </w:tc>
        <w:tc>
          <w:tcPr>
            <w:tcW w:type="pct" w:w="42%"/>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America/Los_Angeles (Pacific)</w:t>
            </w:r>
          </w:p>
        </w:tc>
      </w:tr>
      <w:tr>
        <w:tc>
          <w:tcPr>
            <w:tcW w:type="pct" w:w="28%"/>
            <w:tcMar>
              <w:top w:type="dxa" w:w="80"/>
              <w:left w:type="dxa" w:w="120"/>
              <w:bottom w:type="dxa" w:w="80"/>
              <w:right w:type="dxa" w:w="120"/>
            </w:tcMar>
          </w:tcPr>
          <w:p>
            <w:pPr>
              <w:spacing w:after="0" w:line="260"/>
            </w:pPr>
            <w:r>
              <w:rPr>
                <w:rFonts w:ascii="Calibri" w:cs="Calibri" w:eastAsia="Calibri" w:hAnsi="Calibri"/>
                <w:b/>
                <w:bCs/>
                <w:sz w:val="20"/>
                <w:szCs w:val="20"/>
              </w:rPr>
              <w:t xml:space="preserve">Charleston Battery</w:t>
            </w:r>
          </w:p>
        </w:tc>
        <w:tc>
          <w:tcPr>
            <w:tcW w:type="pct" w:w="3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Charleston, SC</w:t>
            </w:r>
          </w:p>
        </w:tc>
        <w:tc>
          <w:tcPr>
            <w:tcW w:type="pct" w:w="42%"/>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America/New_York (Eastern)</w:t>
            </w:r>
          </w:p>
        </w:tc>
      </w:tr>
      <w:tr>
        <w:tc>
          <w:tcPr>
            <w:tcW w:type="pct" w:w="28%"/>
            <w:tcMar>
              <w:top w:type="dxa" w:w="80"/>
              <w:left w:type="dxa" w:w="120"/>
              <w:bottom w:type="dxa" w:w="80"/>
              <w:right w:type="dxa" w:w="120"/>
            </w:tcMar>
          </w:tcPr>
          <w:p>
            <w:pPr>
              <w:spacing w:after="0" w:line="260"/>
            </w:pPr>
            <w:r>
              <w:rPr>
                <w:rFonts w:ascii="Calibri" w:cs="Calibri" w:eastAsia="Calibri" w:hAnsi="Calibri"/>
                <w:b/>
                <w:bCs/>
                <w:sz w:val="20"/>
                <w:szCs w:val="20"/>
              </w:rPr>
              <w:t xml:space="preserve">Columbus Riverwalk</w:t>
            </w:r>
          </w:p>
        </w:tc>
        <w:tc>
          <w:tcPr>
            <w:tcW w:type="pct" w:w="30%"/>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Columbus, GA</w:t>
            </w:r>
          </w:p>
        </w:tc>
        <w:tc>
          <w:tcPr>
            <w:tcW w:type="pct" w:w="42%"/>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America/New_York (Eastern)</w:t>
            </w:r>
          </w:p>
        </w:tc>
      </w:tr>
    </w:tbl>
    <w:p>
      <w:pPr>
        <w:spacing w:after="160"/>
      </w:pPr>
    </w:p>
    <w:p>
      <w:pPr>
        <w:spacing w:after="160" w:line="280"/>
      </w:pPr>
      <w:r>
        <w:rPr>
          <w:rFonts w:ascii="Calibri" w:cs="Calibri" w:eastAsia="Calibri" w:hAnsi="Calibri"/>
          <w:sz w:val="21"/>
          <w:szCs w:val="21"/>
        </w:rPr>
        <w:t xml:space="preserve">Columbus Riverwalk is the deliberate edge case: it sits one bridge from Phenix City, Alabama, which is Central. The restaurant runs on Eastern, and the schedule builder carries a note saying so.</w:t>
      </w:r>
    </w:p>
    <w:p>
      <w:pPr>
        <w:pStyle w:val="Heading2"/>
        <w:spacing w:after="140" w:before="320"/>
      </w:pPr>
      <w:r>
        <w:rPr>
          <w:rFonts w:ascii="Calibri" w:cs="Calibri" w:eastAsia="Calibri" w:hAnsi="Calibri"/>
          <w:b/>
          <w:bCs/>
          <w:color w:val="1F4E5F"/>
          <w:sz w:val="26"/>
          <w:szCs w:val="26"/>
        </w:rPr>
        <w:t xml:space="preserve">How to log in as each role</w:t>
      </w:r>
    </w:p>
    <w:p>
      <w:pPr>
        <w:spacing w:after="160" w:line="280"/>
      </w:pPr>
      <w:r>
        <w:rPr>
          <w:rFonts w:ascii="Calibri" w:cs="Calibri" w:eastAsia="Calibri" w:hAnsi="Calibri"/>
          <w:sz w:val="21"/>
          <w:szCs w:val="21"/>
        </w:rPr>
        <w:t xml:space="preserve">Every seeded account uses the password </w:t>
      </w:r>
      <w:r>
        <w:rPr>
          <w:rFonts w:ascii="Calibri" w:cs="Calibri" w:eastAsia="Calibri" w:hAnsi="Calibri"/>
          <w:b/>
          <w:bCs/>
          <w:sz w:val="21"/>
          <w:szCs w:val="21"/>
        </w:rPr>
        <w:t xml:space="preserve">Coastal2026!</w:t>
      </w:r>
      <w:r>
        <w:rPr>
          <w:rFonts w:ascii="Calibri" w:cs="Calibri" w:eastAsia="Calibri" w:hAnsi="Calibri"/>
          <w:sz w:val="21"/>
          <w:szCs w:val="21"/>
        </w:rPr>
        <w:t xml:space="preserve">. The login page lists all seventeen accounts and fills the form when you click one, so nothing needs to be typed.</w:t>
      </w:r>
    </w:p>
    <w:p>
      <w:pPr>
        <w:spacing w:after="100" w:before="260"/>
      </w:pPr>
      <w:r>
        <w:rPr>
          <w:rFonts w:ascii="Calibri" w:cs="Calibri" w:eastAsia="Calibri" w:hAnsi="Calibri"/>
          <w:b/>
          <w:bCs/>
          <w:sz w:val="22"/>
          <w:szCs w:val="22"/>
        </w:rPr>
        <w:t xml:space="preserve">Admin — dana.reyes@coastaleats.com</w:t>
      </w:r>
    </w:p>
    <w:p>
      <w:pPr>
        <w:spacing w:after="80" w:line="280"/>
      </w:pPr>
      <w:r>
        <w:rPr>
          <w:rFonts w:ascii="Calibri" w:cs="Calibri" w:eastAsia="Calibri" w:hAnsi="Calibri"/>
          <w:sz w:val="21"/>
          <w:szCs w:val="21"/>
        </w:rPr>
        <w:t xml:space="preserve">Sees all four locations at once. Everything a manager can do, plus the audit log with CSV export for any date range and location, and the simulated email outbox. Start here for the widest view.</w:t>
      </w:r>
    </w:p>
    <w:p>
      <w:pPr>
        <w:spacing w:after="100" w:before="260"/>
      </w:pPr>
      <w:r>
        <w:rPr>
          <w:rFonts w:ascii="Calibri" w:cs="Calibri" w:eastAsia="Calibri" w:hAnsi="Calibri"/>
          <w:b/>
          <w:bCs/>
          <w:sz w:val="22"/>
          <w:szCs w:val="22"/>
        </w:rPr>
        <w:t xml:space="preserve">Manager — marcus.hale@ or priya.nadkarni@coastaleats.com</w:t>
      </w:r>
    </w:p>
    <w:p>
      <w:pPr>
        <w:spacing w:after="80" w:line="280"/>
      </w:pPr>
      <w:r>
        <w:rPr>
          <w:rFonts w:ascii="Calibri" w:cs="Calibri" w:eastAsia="Calibri" w:hAnsi="Calibri"/>
          <w:sz w:val="21"/>
          <w:szCs w:val="21"/>
        </w:rPr>
        <w:t xml:space="preserve">Scoped to assigned locations only — Marcus has the two Pacific restaurants, Priya the two Eastern ones. Neither can see or touch the other pair. Managers create and edit shifts, assign and unassign staff, publish or unpublish a week, approve or reject swap and drop requests, record documented overrides, and read the overtime, fairness and compliance reports.</w:t>
      </w:r>
    </w:p>
    <w:p>
      <w:pPr>
        <w:spacing w:after="100" w:before="260"/>
      </w:pPr>
      <w:r>
        <w:rPr>
          <w:rFonts w:ascii="Calibri" w:cs="Calibri" w:eastAsia="Calibri" w:hAnsi="Calibri"/>
          <w:b/>
          <w:bCs/>
          <w:sz w:val="22"/>
          <w:szCs w:val="22"/>
        </w:rPr>
        <w:t xml:space="preserve">Staff — any of the remaining fourteen accounts</w:t>
      </w:r>
    </w:p>
    <w:p>
      <w:pPr>
        <w:spacing w:after="80" w:line="280"/>
      </w:pPr>
      <w:r>
        <w:rPr>
          <w:rFonts w:ascii="Calibri" w:cs="Calibri" w:eastAsia="Calibri" w:hAnsi="Calibri"/>
          <w:sz w:val="21"/>
          <w:szCs w:val="21"/>
        </w:rPr>
        <w:t xml:space="preserve">Sees their own schedule and nothing else. Sets recurring weekly availability plus one-off exceptions, requests swaps, offers shifts up for grabs, claims open shifts they are qualified for, and configures notification preferences. Draft shifts are invisible to staff until a manager publishes.</w:t>
      </w:r>
    </w:p>
    <w:p>
      <w:pPr>
        <w:spacing w:after="100" w:before="260"/>
      </w:pPr>
      <w:r>
        <w:rPr>
          <w:rFonts w:ascii="Calibri" w:cs="Calibri" w:eastAsia="Calibri" w:hAnsi="Calibri"/>
          <w:b/>
          <w:bCs/>
          <w:sz w:val="22"/>
          <w:szCs w:val="22"/>
        </w:rPr>
        <w:t xml:space="preserve">Accounts worth starting with</w:t>
      </w:r>
    </w:p>
    <w:tbl>
      <w:tblPr>
        <w:tblW w:type="pct" w:w="100%"/>
        <w:tblBorders>
          <w:top w:val="single" w:color="C9D6DB" w:sz="2"/>
          <w:left w:val="single" w:color="C9D6DB" w:sz="2"/>
          <w:bottom w:val="single" w:color="C9D6DB" w:sz="2"/>
          <w:right w:val="single" w:color="C9D6DB" w:sz="2"/>
          <w:insideH w:val="single" w:color="C9D6DB" w:sz="2"/>
          <w:insideV w:val="single" w:color="C9D6DB" w:sz="2"/>
        </w:tblBorders>
      </w:tblPr>
      <w:tblGrid>
        <w:gridCol w:w="100"/>
        <w:gridCol w:w="100"/>
      </w:tblGrid>
      <w:tr>
        <w:trPr>
          <w:tblHeader/>
        </w:trPr>
        <w:tc>
          <w:tcPr>
            <w:tcW w:type="pct" w:w="38%"/>
            <w:shd w:fill="EEF3F5"/>
            <w:tcMar>
              <w:top w:type="dxa" w:w="80"/>
              <w:left w:type="dxa" w:w="120"/>
              <w:bottom w:type="dxa" w:w="80"/>
              <w:right w:type="dxa" w:w="120"/>
            </w:tcMar>
          </w:tcPr>
          <w:p>
            <w:pPr>
              <w:spacing w:after="0" w:line="260"/>
            </w:pPr>
            <w:r>
              <w:rPr>
                <w:rFonts w:ascii="Calibri" w:cs="Calibri" w:eastAsia="Calibri" w:hAnsi="Calibri"/>
                <w:b/>
                <w:bCs/>
                <w:color w:val="1F4E5F"/>
                <w:sz w:val="20"/>
                <w:szCs w:val="20"/>
              </w:rPr>
              <w:t xml:space="preserve">Account</w:t>
            </w:r>
          </w:p>
        </w:tc>
        <w:tc>
          <w:tcPr>
            <w:tcW w:type="pct" w:w="62%"/>
            <w:shd w:fill="EEF3F5"/>
            <w:tcMar>
              <w:top w:type="dxa" w:w="80"/>
              <w:left w:type="dxa" w:w="120"/>
              <w:bottom w:type="dxa" w:w="80"/>
              <w:right w:type="dxa" w:w="120"/>
            </w:tcMar>
          </w:tcPr>
          <w:p>
            <w:pPr>
              <w:spacing w:after="0" w:line="260"/>
            </w:pPr>
            <w:r>
              <w:rPr>
                <w:rFonts w:ascii="Calibri" w:cs="Calibri" w:eastAsia="Calibri" w:hAnsi="Calibri"/>
                <w:b/>
                <w:bCs/>
                <w:color w:val="1F4E5F"/>
                <w:sz w:val="20"/>
                <w:szCs w:val="20"/>
              </w:rPr>
              <w:t xml:space="preserve">Why this one</w:t>
            </w:r>
          </w:p>
        </w:tc>
      </w:tr>
      <w:tr>
        <w:tc>
          <w:tcPr>
            <w:tcW w:type="pct" w:w="38%"/>
            <w:tcMar>
              <w:top w:type="dxa" w:w="80"/>
              <w:left w:type="dxa" w:w="120"/>
              <w:bottom w:type="dxa" w:w="80"/>
              <w:right w:type="dxa" w:w="120"/>
            </w:tcMar>
          </w:tcPr>
          <w:p>
            <w:pPr>
              <w:spacing w:after="0" w:line="260"/>
            </w:pPr>
            <w:r>
              <w:rPr>
                <w:rFonts w:ascii="Calibri" w:cs="Calibri" w:eastAsia="Calibri" w:hAnsi="Calibri"/>
                <w:b/>
                <w:bCs/>
                <w:sz w:val="20"/>
                <w:szCs w:val="20"/>
              </w:rPr>
              <w:t xml:space="preserve">dana.reyes@coastaleats.com</w:t>
            </w:r>
          </w:p>
        </w:tc>
        <w:tc>
          <w:tcPr>
            <w:tcW w:type="pct" w:w="62%"/>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Admin — audit trail and email outbox</w:t>
            </w:r>
          </w:p>
        </w:tc>
      </w:tr>
      <w:tr>
        <w:tc>
          <w:tcPr>
            <w:tcW w:type="pct" w:w="38%"/>
            <w:tcMar>
              <w:top w:type="dxa" w:w="80"/>
              <w:left w:type="dxa" w:w="120"/>
              <w:bottom w:type="dxa" w:w="80"/>
              <w:right w:type="dxa" w:w="120"/>
            </w:tcMar>
          </w:tcPr>
          <w:p>
            <w:pPr>
              <w:spacing w:after="0" w:line="260"/>
            </w:pPr>
            <w:r>
              <w:rPr>
                <w:rFonts w:ascii="Calibri" w:cs="Calibri" w:eastAsia="Calibri" w:hAnsi="Calibri"/>
                <w:b/>
                <w:bCs/>
                <w:sz w:val="20"/>
                <w:szCs w:val="20"/>
              </w:rPr>
              <w:t xml:space="preserve">priya.nadkarni@coastaleats.com</w:t>
            </w:r>
          </w:p>
        </w:tc>
        <w:tc>
          <w:tcPr>
            <w:tcW w:type="pct" w:w="62%"/>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Manager — the coverage-gap and fairness scenarios</w:t>
            </w:r>
          </w:p>
        </w:tc>
      </w:tr>
      <w:tr>
        <w:tc>
          <w:tcPr>
            <w:tcW w:type="pct" w:w="38%"/>
            <w:tcMar>
              <w:top w:type="dxa" w:w="80"/>
              <w:left w:type="dxa" w:w="120"/>
              <w:bottom w:type="dxa" w:w="80"/>
              <w:right w:type="dxa" w:w="120"/>
            </w:tcMar>
          </w:tcPr>
          <w:p>
            <w:pPr>
              <w:spacing w:after="0" w:line="260"/>
            </w:pPr>
            <w:r>
              <w:rPr>
                <w:rFonts w:ascii="Calibri" w:cs="Calibri" w:eastAsia="Calibri" w:hAnsi="Calibri"/>
                <w:b/>
                <w:bCs/>
                <w:sz w:val="20"/>
                <w:szCs w:val="20"/>
              </w:rPr>
              <w:t xml:space="preserve">marcus.hale@coastaleats.com</w:t>
            </w:r>
          </w:p>
        </w:tc>
        <w:tc>
          <w:tcPr>
            <w:tcW w:type="pct" w:w="62%"/>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Manager — the overtime and compliance scenarios</w:t>
            </w:r>
          </w:p>
        </w:tc>
      </w:tr>
      <w:tr>
        <w:tc>
          <w:tcPr>
            <w:tcW w:type="pct" w:w="38%"/>
            <w:tcMar>
              <w:top w:type="dxa" w:w="80"/>
              <w:left w:type="dxa" w:w="120"/>
              <w:bottom w:type="dxa" w:w="80"/>
              <w:right w:type="dxa" w:w="120"/>
            </w:tcMar>
          </w:tcPr>
          <w:p>
            <w:pPr>
              <w:spacing w:after="0" w:line="260"/>
            </w:pPr>
            <w:r>
              <w:rPr>
                <w:rFonts w:ascii="Calibri" w:cs="Calibri" w:eastAsia="Calibri" w:hAnsi="Calibri"/>
                <w:b/>
                <w:bCs/>
                <w:sz w:val="20"/>
                <w:szCs w:val="20"/>
              </w:rPr>
              <w:t xml:space="preserve">sarah.chen@coastaleats.com</w:t>
            </w:r>
          </w:p>
        </w:tc>
        <w:tc>
          <w:tcPr>
            <w:tcW w:type="pct" w:w="62%"/>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Staff — certified in both timezones, so availability asks which zone applies</w:t>
            </w:r>
          </w:p>
        </w:tc>
      </w:tr>
      <w:tr>
        <w:tc>
          <w:tcPr>
            <w:tcW w:type="pct" w:w="38%"/>
            <w:tcMar>
              <w:top w:type="dxa" w:w="80"/>
              <w:left w:type="dxa" w:w="120"/>
              <w:bottom w:type="dxa" w:w="80"/>
              <w:right w:type="dxa" w:w="120"/>
            </w:tcMar>
          </w:tcPr>
          <w:p>
            <w:pPr>
              <w:spacing w:after="0" w:line="260"/>
            </w:pPr>
            <w:r>
              <w:rPr>
                <w:rFonts w:ascii="Calibri" w:cs="Calibri" w:eastAsia="Calibri" w:hAnsi="Calibri"/>
                <w:b/>
                <w:bCs/>
                <w:sz w:val="20"/>
                <w:szCs w:val="20"/>
              </w:rPr>
              <w:t xml:space="preserve">marco.ruiz@coastaleats.com</w:t>
            </w:r>
          </w:p>
        </w:tc>
        <w:tc>
          <w:tcPr>
            <w:tcW w:type="pct" w:w="62%"/>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Staff — the 52-hour overtime case</w:t>
            </w:r>
          </w:p>
        </w:tc>
      </w:tr>
      <w:tr>
        <w:tc>
          <w:tcPr>
            <w:tcW w:type="pct" w:w="38%"/>
            <w:tcMar>
              <w:top w:type="dxa" w:w="80"/>
              <w:left w:type="dxa" w:w="120"/>
              <w:bottom w:type="dxa" w:w="80"/>
              <w:right w:type="dxa" w:w="120"/>
            </w:tcMar>
          </w:tcPr>
          <w:p>
            <w:pPr>
              <w:spacing w:after="0" w:line="260"/>
            </w:pPr>
            <w:r>
              <w:rPr>
                <w:rFonts w:ascii="Calibri" w:cs="Calibri" w:eastAsia="Calibri" w:hAnsi="Calibri"/>
                <w:b/>
                <w:bCs/>
                <w:sz w:val="20"/>
                <w:szCs w:val="20"/>
              </w:rPr>
              <w:t xml:space="preserve">jordan.blake@coastaleats.com</w:t>
            </w:r>
          </w:p>
        </w:tc>
        <w:tc>
          <w:tcPr>
            <w:tcW w:type="pct" w:w="62%"/>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Staff — the fairness complaint</w:t>
            </w:r>
          </w:p>
        </w:tc>
      </w:tr>
    </w:tbl>
    <w:p>
      <w:pPr>
        <w:pStyle w:val="Heading2"/>
        <w:spacing w:after="140" w:before="320"/>
      </w:pPr>
      <w:r>
        <w:rPr>
          <w:rFonts w:ascii="Calibri" w:cs="Calibri" w:eastAsia="Calibri" w:hAnsi="Calibri"/>
          <w:b/>
          <w:bCs/>
          <w:color w:val="1F4E5F"/>
          <w:sz w:val="26"/>
          <w:szCs w:val="26"/>
        </w:rPr>
        <w:t xml:space="preserve">Full roster</w:t>
      </w:r>
    </w:p>
    <w:p>
      <w:pPr>
        <w:spacing w:after="160" w:line="280"/>
      </w:pPr>
      <w:r>
        <w:rPr>
          <w:rFonts w:ascii="Calibri" w:cs="Calibri" w:eastAsia="Calibri" w:hAnsi="Calibri"/>
          <w:sz w:val="21"/>
          <w:szCs w:val="21"/>
        </w:rPr>
        <w:t xml:space="preserve">Seventeen accounts, sized so the constraint engine has real choices to make and real refusals to explain.</w:t>
      </w:r>
    </w:p>
    <w:tbl>
      <w:tblPr>
        <w:tblW w:type="pct" w:w="100%"/>
        <w:tblBorders>
          <w:top w:val="single" w:color="C9D6DB" w:sz="2"/>
          <w:left w:val="single" w:color="C9D6DB" w:sz="2"/>
          <w:bottom w:val="single" w:color="C9D6DB" w:sz="2"/>
          <w:right w:val="single" w:color="C9D6DB" w:sz="2"/>
          <w:insideH w:val="single" w:color="C9D6DB" w:sz="2"/>
          <w:insideV w:val="single" w:color="C9D6DB" w:sz="2"/>
        </w:tblBorders>
      </w:tblPr>
      <w:tblGrid>
        <w:gridCol w:w="100"/>
        <w:gridCol w:w="100"/>
        <w:gridCol w:w="100"/>
        <w:gridCol w:w="100"/>
        <w:gridCol w:w="100"/>
      </w:tblGrid>
      <w:tr>
        <w:trPr>
          <w:tblHeader/>
        </w:trPr>
        <w:tc>
          <w:tcPr>
            <w:tcW w:type="pct" w:w="20%"/>
            <w:shd w:fill="EEF3F5"/>
            <w:tcMar>
              <w:top w:type="dxa" w:w="80"/>
              <w:left w:type="dxa" w:w="120"/>
              <w:bottom w:type="dxa" w:w="80"/>
              <w:right w:type="dxa" w:w="120"/>
            </w:tcMar>
          </w:tcPr>
          <w:p>
            <w:pPr>
              <w:spacing w:after="0" w:line="260"/>
            </w:pPr>
            <w:r>
              <w:rPr>
                <w:rFonts w:ascii="Calibri" w:cs="Calibri" w:eastAsia="Calibri" w:hAnsi="Calibri"/>
                <w:b/>
                <w:bCs/>
                <w:color w:val="1F4E5F"/>
                <w:sz w:val="20"/>
                <w:szCs w:val="20"/>
              </w:rPr>
              <w:t xml:space="preserve">Name</w:t>
            </w:r>
          </w:p>
        </w:tc>
        <w:tc>
          <w:tcPr>
            <w:tcW w:type="pct" w:w="12%"/>
            <w:shd w:fill="EEF3F5"/>
            <w:tcMar>
              <w:top w:type="dxa" w:w="80"/>
              <w:left w:type="dxa" w:w="120"/>
              <w:bottom w:type="dxa" w:w="80"/>
              <w:right w:type="dxa" w:w="120"/>
            </w:tcMar>
          </w:tcPr>
          <w:p>
            <w:pPr>
              <w:spacing w:after="0" w:line="260"/>
            </w:pPr>
            <w:r>
              <w:rPr>
                <w:rFonts w:ascii="Calibri" w:cs="Calibri" w:eastAsia="Calibri" w:hAnsi="Calibri"/>
                <w:b/>
                <w:bCs/>
                <w:color w:val="1F4E5F"/>
                <w:sz w:val="20"/>
                <w:szCs w:val="20"/>
              </w:rPr>
              <w:t xml:space="preserve">Role</w:t>
            </w:r>
          </w:p>
        </w:tc>
        <w:tc>
          <w:tcPr>
            <w:tcW w:type="pct" w:w="26%"/>
            <w:shd w:fill="EEF3F5"/>
            <w:tcMar>
              <w:top w:type="dxa" w:w="80"/>
              <w:left w:type="dxa" w:w="120"/>
              <w:bottom w:type="dxa" w:w="80"/>
              <w:right w:type="dxa" w:w="120"/>
            </w:tcMar>
          </w:tcPr>
          <w:p>
            <w:pPr>
              <w:spacing w:after="0" w:line="260"/>
            </w:pPr>
            <w:r>
              <w:rPr>
                <w:rFonts w:ascii="Calibri" w:cs="Calibri" w:eastAsia="Calibri" w:hAnsi="Calibri"/>
                <w:b/>
                <w:bCs/>
                <w:color w:val="1F4E5F"/>
                <w:sz w:val="20"/>
                <w:szCs w:val="20"/>
              </w:rPr>
              <w:t xml:space="preserve">Skills</w:t>
            </w:r>
          </w:p>
        </w:tc>
        <w:tc>
          <w:tcPr>
            <w:tcW w:type="pct" w:w="28%"/>
            <w:shd w:fill="EEF3F5"/>
            <w:tcMar>
              <w:top w:type="dxa" w:w="80"/>
              <w:left w:type="dxa" w:w="120"/>
              <w:bottom w:type="dxa" w:w="80"/>
              <w:right w:type="dxa" w:w="120"/>
            </w:tcMar>
          </w:tcPr>
          <w:p>
            <w:pPr>
              <w:spacing w:after="0" w:line="260"/>
            </w:pPr>
            <w:r>
              <w:rPr>
                <w:rFonts w:ascii="Calibri" w:cs="Calibri" w:eastAsia="Calibri" w:hAnsi="Calibri"/>
                <w:b/>
                <w:bCs/>
                <w:color w:val="1F4E5F"/>
                <w:sz w:val="20"/>
                <w:szCs w:val="20"/>
              </w:rPr>
              <w:t xml:space="preserve">Certified at</w:t>
            </w:r>
          </w:p>
        </w:tc>
        <w:tc>
          <w:tcPr>
            <w:tcW w:type="pct" w:w="14%"/>
            <w:shd w:fill="EEF3F5"/>
            <w:tcMar>
              <w:top w:type="dxa" w:w="80"/>
              <w:left w:type="dxa" w:w="120"/>
              <w:bottom w:type="dxa" w:w="80"/>
              <w:right w:type="dxa" w:w="120"/>
            </w:tcMar>
          </w:tcPr>
          <w:p>
            <w:pPr>
              <w:spacing w:after="0" w:line="260"/>
            </w:pPr>
            <w:r>
              <w:rPr>
                <w:rFonts w:ascii="Calibri" w:cs="Calibri" w:eastAsia="Calibri" w:hAnsi="Calibri"/>
                <w:b/>
                <w:bCs/>
                <w:color w:val="1F4E5F"/>
                <w:sz w:val="20"/>
                <w:szCs w:val="20"/>
              </w:rPr>
              <w:t xml:space="preserve">Wants</w:t>
            </w:r>
          </w:p>
        </w:tc>
      </w:tr>
      <w:tr>
        <w:tc>
          <w:tcPr>
            <w:tcW w:type="pct" w:w="20%"/>
            <w:tcMar>
              <w:top w:type="dxa" w:w="80"/>
              <w:left w:type="dxa" w:w="120"/>
              <w:bottom w:type="dxa" w:w="80"/>
              <w:right w:type="dxa" w:w="120"/>
            </w:tcMar>
          </w:tcPr>
          <w:p>
            <w:pPr>
              <w:spacing w:after="0" w:line="260"/>
            </w:pPr>
            <w:r>
              <w:rPr>
                <w:rFonts w:ascii="Calibri" w:cs="Calibri" w:eastAsia="Calibri" w:hAnsi="Calibri"/>
                <w:b/>
                <w:bCs/>
                <w:sz w:val="20"/>
                <w:szCs w:val="20"/>
              </w:rPr>
              <w:t xml:space="preserve">Dana Reyes</w:t>
            </w:r>
          </w:p>
        </w:tc>
        <w:tc>
          <w:tcPr>
            <w:tcW w:type="pct" w:w="12%"/>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Admin</w:t>
            </w:r>
          </w:p>
        </w:tc>
        <w:tc>
          <w:tcPr>
            <w:tcW w:type="pct" w:w="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w:t>
            </w:r>
          </w:p>
        </w:tc>
        <w:tc>
          <w:tcPr>
            <w:tcW w:type="pct" w:w="28%"/>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All locations</w:t>
            </w:r>
          </w:p>
        </w:tc>
        <w:tc>
          <w:tcPr>
            <w:tcW w:type="pct" w:w="14%"/>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w:t>
            </w:r>
          </w:p>
        </w:tc>
      </w:tr>
      <w:tr>
        <w:tc>
          <w:tcPr>
            <w:tcW w:type="pct" w:w="20%"/>
            <w:tcMar>
              <w:top w:type="dxa" w:w="80"/>
              <w:left w:type="dxa" w:w="120"/>
              <w:bottom w:type="dxa" w:w="80"/>
              <w:right w:type="dxa" w:w="120"/>
            </w:tcMar>
          </w:tcPr>
          <w:p>
            <w:pPr>
              <w:spacing w:after="0" w:line="260"/>
            </w:pPr>
            <w:r>
              <w:rPr>
                <w:rFonts w:ascii="Calibri" w:cs="Calibri" w:eastAsia="Calibri" w:hAnsi="Calibri"/>
                <w:b/>
                <w:bCs/>
                <w:sz w:val="20"/>
                <w:szCs w:val="20"/>
              </w:rPr>
              <w:t xml:space="preserve">Marcus Hale</w:t>
            </w:r>
          </w:p>
        </w:tc>
        <w:tc>
          <w:tcPr>
            <w:tcW w:type="pct" w:w="12%"/>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Manager</w:t>
            </w:r>
          </w:p>
        </w:tc>
        <w:tc>
          <w:tcPr>
            <w:tcW w:type="pct" w:w="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w:t>
            </w:r>
          </w:p>
        </w:tc>
        <w:tc>
          <w:tcPr>
            <w:tcW w:type="pct" w:w="28%"/>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Santa Monica, Portland</w:t>
            </w:r>
          </w:p>
        </w:tc>
        <w:tc>
          <w:tcPr>
            <w:tcW w:type="pct" w:w="14%"/>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w:t>
            </w:r>
          </w:p>
        </w:tc>
      </w:tr>
      <w:tr>
        <w:tc>
          <w:tcPr>
            <w:tcW w:type="pct" w:w="20%"/>
            <w:tcMar>
              <w:top w:type="dxa" w:w="80"/>
              <w:left w:type="dxa" w:w="120"/>
              <w:bottom w:type="dxa" w:w="80"/>
              <w:right w:type="dxa" w:w="120"/>
            </w:tcMar>
          </w:tcPr>
          <w:p>
            <w:pPr>
              <w:spacing w:after="0" w:line="260"/>
            </w:pPr>
            <w:r>
              <w:rPr>
                <w:rFonts w:ascii="Calibri" w:cs="Calibri" w:eastAsia="Calibri" w:hAnsi="Calibri"/>
                <w:b/>
                <w:bCs/>
                <w:sz w:val="20"/>
                <w:szCs w:val="20"/>
              </w:rPr>
              <w:t xml:space="preserve">Priya Nadkarni</w:t>
            </w:r>
          </w:p>
        </w:tc>
        <w:tc>
          <w:tcPr>
            <w:tcW w:type="pct" w:w="12%"/>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Manager</w:t>
            </w:r>
          </w:p>
        </w:tc>
        <w:tc>
          <w:tcPr>
            <w:tcW w:type="pct" w:w="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w:t>
            </w:r>
          </w:p>
        </w:tc>
        <w:tc>
          <w:tcPr>
            <w:tcW w:type="pct" w:w="28%"/>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Charleston, Columbus</w:t>
            </w:r>
          </w:p>
        </w:tc>
        <w:tc>
          <w:tcPr>
            <w:tcW w:type="pct" w:w="14%"/>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w:t>
            </w:r>
          </w:p>
        </w:tc>
      </w:tr>
      <w:tr>
        <w:tc>
          <w:tcPr>
            <w:tcW w:type="pct" w:w="20%"/>
            <w:tcMar>
              <w:top w:type="dxa" w:w="80"/>
              <w:left w:type="dxa" w:w="120"/>
              <w:bottom w:type="dxa" w:w="80"/>
              <w:right w:type="dxa" w:w="120"/>
            </w:tcMar>
          </w:tcPr>
          <w:p>
            <w:pPr>
              <w:spacing w:after="0" w:line="260"/>
            </w:pPr>
            <w:r>
              <w:rPr>
                <w:rFonts w:ascii="Calibri" w:cs="Calibri" w:eastAsia="Calibri" w:hAnsi="Calibri"/>
                <w:b/>
                <w:bCs/>
                <w:sz w:val="20"/>
                <w:szCs w:val="20"/>
              </w:rPr>
              <w:t xml:space="preserve">Alicia Moreau</w:t>
            </w:r>
          </w:p>
        </w:tc>
        <w:tc>
          <w:tcPr>
            <w:tcW w:type="pct" w:w="12%"/>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Staff</w:t>
            </w:r>
          </w:p>
        </w:tc>
        <w:tc>
          <w:tcPr>
            <w:tcW w:type="pct" w:w="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Line Cook, Server</w:t>
            </w:r>
          </w:p>
        </w:tc>
        <w:tc>
          <w:tcPr>
            <w:tcW w:type="pct" w:w="28%"/>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Charleston, Columbus</w:t>
            </w:r>
          </w:p>
        </w:tc>
        <w:tc>
          <w:tcPr>
            <w:tcW w:type="pct" w:w="14%"/>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28h</w:t>
            </w:r>
          </w:p>
        </w:tc>
      </w:tr>
      <w:tr>
        <w:tc>
          <w:tcPr>
            <w:tcW w:type="pct" w:w="20%"/>
            <w:tcMar>
              <w:top w:type="dxa" w:w="80"/>
              <w:left w:type="dxa" w:w="120"/>
              <w:bottom w:type="dxa" w:w="80"/>
              <w:right w:type="dxa" w:w="120"/>
            </w:tcMar>
          </w:tcPr>
          <w:p>
            <w:pPr>
              <w:spacing w:after="0" w:line="260"/>
            </w:pPr>
            <w:r>
              <w:rPr>
                <w:rFonts w:ascii="Calibri" w:cs="Calibri" w:eastAsia="Calibri" w:hAnsi="Calibri"/>
                <w:b/>
                <w:bCs/>
                <w:sz w:val="20"/>
                <w:szCs w:val="20"/>
              </w:rPr>
              <w:t xml:space="preserve">Ben Harlow</w:t>
            </w:r>
          </w:p>
        </w:tc>
        <w:tc>
          <w:tcPr>
            <w:tcW w:type="pct" w:w="12%"/>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Staff</w:t>
            </w:r>
          </w:p>
        </w:tc>
        <w:tc>
          <w:tcPr>
            <w:tcW w:type="pct" w:w="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Dishwasher, Line Cook</w:t>
            </w:r>
          </w:p>
        </w:tc>
        <w:tc>
          <w:tcPr>
            <w:tcW w:type="pct" w:w="28%"/>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Columbus</w:t>
            </w:r>
          </w:p>
        </w:tc>
        <w:tc>
          <w:tcPr>
            <w:tcW w:type="pct" w:w="14%"/>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24h</w:t>
            </w:r>
          </w:p>
        </w:tc>
      </w:tr>
      <w:tr>
        <w:tc>
          <w:tcPr>
            <w:tcW w:type="pct" w:w="20%"/>
            <w:tcMar>
              <w:top w:type="dxa" w:w="80"/>
              <w:left w:type="dxa" w:w="120"/>
              <w:bottom w:type="dxa" w:w="80"/>
              <w:right w:type="dxa" w:w="120"/>
            </w:tcMar>
          </w:tcPr>
          <w:p>
            <w:pPr>
              <w:spacing w:after="0" w:line="260"/>
            </w:pPr>
            <w:r>
              <w:rPr>
                <w:rFonts w:ascii="Calibri" w:cs="Calibri" w:eastAsia="Calibri" w:hAnsi="Calibri"/>
                <w:b/>
                <w:bCs/>
                <w:sz w:val="20"/>
                <w:szCs w:val="20"/>
              </w:rPr>
              <w:t xml:space="preserve">Devon Pierce</w:t>
            </w:r>
          </w:p>
        </w:tc>
        <w:tc>
          <w:tcPr>
            <w:tcW w:type="pct" w:w="12%"/>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Staff</w:t>
            </w:r>
          </w:p>
        </w:tc>
        <w:tc>
          <w:tcPr>
            <w:tcW w:type="pct" w:w="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Host, Server</w:t>
            </w:r>
          </w:p>
        </w:tc>
        <w:tc>
          <w:tcPr>
            <w:tcW w:type="pct" w:w="28%"/>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Santa Monica</w:t>
            </w:r>
          </w:p>
        </w:tc>
        <w:tc>
          <w:tcPr>
            <w:tcW w:type="pct" w:w="14%"/>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20h</w:t>
            </w:r>
          </w:p>
        </w:tc>
      </w:tr>
      <w:tr>
        <w:tc>
          <w:tcPr>
            <w:tcW w:type="pct" w:w="20%"/>
            <w:tcMar>
              <w:top w:type="dxa" w:w="80"/>
              <w:left w:type="dxa" w:w="120"/>
              <w:bottom w:type="dxa" w:w="80"/>
              <w:right w:type="dxa" w:w="120"/>
            </w:tcMar>
          </w:tcPr>
          <w:p>
            <w:pPr>
              <w:spacing w:after="0" w:line="260"/>
            </w:pPr>
            <w:r>
              <w:rPr>
                <w:rFonts w:ascii="Calibri" w:cs="Calibri" w:eastAsia="Calibri" w:hAnsi="Calibri"/>
                <w:b/>
                <w:bCs/>
                <w:sz w:val="20"/>
                <w:szCs w:val="20"/>
              </w:rPr>
              <w:t xml:space="preserve">Elena Vasquez</w:t>
            </w:r>
          </w:p>
        </w:tc>
        <w:tc>
          <w:tcPr>
            <w:tcW w:type="pct" w:w="12%"/>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Staff</w:t>
            </w:r>
          </w:p>
        </w:tc>
        <w:tc>
          <w:tcPr>
            <w:tcW w:type="pct" w:w="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Bartender, Shift Lead</w:t>
            </w:r>
          </w:p>
        </w:tc>
        <w:tc>
          <w:tcPr>
            <w:tcW w:type="pct" w:w="28%"/>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Charleston, Santa Monica</w:t>
            </w:r>
          </w:p>
        </w:tc>
        <w:tc>
          <w:tcPr>
            <w:tcW w:type="pct" w:w="14%"/>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30h</w:t>
            </w:r>
          </w:p>
        </w:tc>
      </w:tr>
      <w:tr>
        <w:tc>
          <w:tcPr>
            <w:tcW w:type="pct" w:w="20%"/>
            <w:tcMar>
              <w:top w:type="dxa" w:w="80"/>
              <w:left w:type="dxa" w:w="120"/>
              <w:bottom w:type="dxa" w:w="80"/>
              <w:right w:type="dxa" w:w="120"/>
            </w:tcMar>
          </w:tcPr>
          <w:p>
            <w:pPr>
              <w:spacing w:after="0" w:line="260"/>
            </w:pPr>
            <w:r>
              <w:rPr>
                <w:rFonts w:ascii="Calibri" w:cs="Calibri" w:eastAsia="Calibri" w:hAnsi="Calibri"/>
                <w:b/>
                <w:bCs/>
                <w:sz w:val="20"/>
                <w:szCs w:val="20"/>
              </w:rPr>
              <w:t xml:space="preserve">Jordan Blake</w:t>
            </w:r>
          </w:p>
        </w:tc>
        <w:tc>
          <w:tcPr>
            <w:tcW w:type="pct" w:w="12%"/>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Staff</w:t>
            </w:r>
          </w:p>
        </w:tc>
        <w:tc>
          <w:tcPr>
            <w:tcW w:type="pct" w:w="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Host, Server</w:t>
            </w:r>
          </w:p>
        </w:tc>
        <w:tc>
          <w:tcPr>
            <w:tcW w:type="pct" w:w="28%"/>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Charleston, Columbus</w:t>
            </w:r>
          </w:p>
        </w:tc>
        <w:tc>
          <w:tcPr>
            <w:tcW w:type="pct" w:w="14%"/>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30h</w:t>
            </w:r>
          </w:p>
        </w:tc>
      </w:tr>
      <w:tr>
        <w:tc>
          <w:tcPr>
            <w:tcW w:type="pct" w:w="20%"/>
            <w:tcMar>
              <w:top w:type="dxa" w:w="80"/>
              <w:left w:type="dxa" w:w="120"/>
              <w:bottom w:type="dxa" w:w="80"/>
              <w:right w:type="dxa" w:w="120"/>
            </w:tcMar>
          </w:tcPr>
          <w:p>
            <w:pPr>
              <w:spacing w:after="0" w:line="260"/>
            </w:pPr>
            <w:r>
              <w:rPr>
                <w:rFonts w:ascii="Calibri" w:cs="Calibri" w:eastAsia="Calibri" w:hAnsi="Calibri"/>
                <w:b/>
                <w:bCs/>
                <w:sz w:val="20"/>
                <w:szCs w:val="20"/>
              </w:rPr>
              <w:t xml:space="preserve">Kaito Mori</w:t>
            </w:r>
          </w:p>
        </w:tc>
        <w:tc>
          <w:tcPr>
            <w:tcW w:type="pct" w:w="12%"/>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Staff</w:t>
            </w:r>
          </w:p>
        </w:tc>
        <w:tc>
          <w:tcPr>
            <w:tcW w:type="pct" w:w="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Bartender, Server</w:t>
            </w:r>
          </w:p>
        </w:tc>
        <w:tc>
          <w:tcPr>
            <w:tcW w:type="pct" w:w="28%"/>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Portland</w:t>
            </w:r>
          </w:p>
        </w:tc>
        <w:tc>
          <w:tcPr>
            <w:tcW w:type="pct" w:w="14%"/>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35h</w:t>
            </w:r>
          </w:p>
        </w:tc>
      </w:tr>
      <w:tr>
        <w:tc>
          <w:tcPr>
            <w:tcW w:type="pct" w:w="20%"/>
            <w:tcMar>
              <w:top w:type="dxa" w:w="80"/>
              <w:left w:type="dxa" w:w="120"/>
              <w:bottom w:type="dxa" w:w="80"/>
              <w:right w:type="dxa" w:w="120"/>
            </w:tcMar>
          </w:tcPr>
          <w:p>
            <w:pPr>
              <w:spacing w:after="0" w:line="260"/>
            </w:pPr>
            <w:r>
              <w:rPr>
                <w:rFonts w:ascii="Calibri" w:cs="Calibri" w:eastAsia="Calibri" w:hAnsi="Calibri"/>
                <w:b/>
                <w:bCs/>
                <w:sz w:val="20"/>
                <w:szCs w:val="20"/>
              </w:rPr>
              <w:t xml:space="preserve">Marco Ruiz</w:t>
            </w:r>
          </w:p>
        </w:tc>
        <w:tc>
          <w:tcPr>
            <w:tcW w:type="pct" w:w="12%"/>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Staff</w:t>
            </w:r>
          </w:p>
        </w:tc>
        <w:tc>
          <w:tcPr>
            <w:tcW w:type="pct" w:w="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Line Cook, Shift Lead</w:t>
            </w:r>
          </w:p>
        </w:tc>
        <w:tc>
          <w:tcPr>
            <w:tcW w:type="pct" w:w="28%"/>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Portland, Santa Monica</w:t>
            </w:r>
          </w:p>
        </w:tc>
        <w:tc>
          <w:tcPr>
            <w:tcW w:type="pct" w:w="14%"/>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40h</w:t>
            </w:r>
          </w:p>
        </w:tc>
      </w:tr>
      <w:tr>
        <w:tc>
          <w:tcPr>
            <w:tcW w:type="pct" w:w="20%"/>
            <w:tcMar>
              <w:top w:type="dxa" w:w="80"/>
              <w:left w:type="dxa" w:w="120"/>
              <w:bottom w:type="dxa" w:w="80"/>
              <w:right w:type="dxa" w:w="120"/>
            </w:tcMar>
          </w:tcPr>
          <w:p>
            <w:pPr>
              <w:spacing w:after="0" w:line="260"/>
            </w:pPr>
            <w:r>
              <w:rPr>
                <w:rFonts w:ascii="Calibri" w:cs="Calibri" w:eastAsia="Calibri" w:hAnsi="Calibri"/>
                <w:b/>
                <w:bCs/>
                <w:sz w:val="20"/>
                <w:szCs w:val="20"/>
              </w:rPr>
              <w:t xml:space="preserve">Maya Johnson</w:t>
            </w:r>
          </w:p>
        </w:tc>
        <w:tc>
          <w:tcPr>
            <w:tcW w:type="pct" w:w="12%"/>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Staff</w:t>
            </w:r>
          </w:p>
        </w:tc>
        <w:tc>
          <w:tcPr>
            <w:tcW w:type="pct" w:w="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Host, Server, Shift Lead</w:t>
            </w:r>
          </w:p>
        </w:tc>
        <w:tc>
          <w:tcPr>
            <w:tcW w:type="pct" w:w="28%"/>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Charleston, Columbus</w:t>
            </w:r>
          </w:p>
        </w:tc>
        <w:tc>
          <w:tcPr>
            <w:tcW w:type="pct" w:w="14%"/>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38h</w:t>
            </w:r>
          </w:p>
        </w:tc>
      </w:tr>
      <w:tr>
        <w:tc>
          <w:tcPr>
            <w:tcW w:type="pct" w:w="20%"/>
            <w:tcMar>
              <w:top w:type="dxa" w:w="80"/>
              <w:left w:type="dxa" w:w="120"/>
              <w:bottom w:type="dxa" w:w="80"/>
              <w:right w:type="dxa" w:w="120"/>
            </w:tcMar>
          </w:tcPr>
          <w:p>
            <w:pPr>
              <w:spacing w:after="0" w:line="260"/>
            </w:pPr>
            <w:r>
              <w:rPr>
                <w:rFonts w:ascii="Calibri" w:cs="Calibri" w:eastAsia="Calibri" w:hAnsi="Calibri"/>
                <w:b/>
                <w:bCs/>
                <w:sz w:val="20"/>
                <w:szCs w:val="20"/>
              </w:rPr>
              <w:t xml:space="preserve">Nina Alvarez</w:t>
            </w:r>
          </w:p>
        </w:tc>
        <w:tc>
          <w:tcPr>
            <w:tcW w:type="pct" w:w="12%"/>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Staff</w:t>
            </w:r>
          </w:p>
        </w:tc>
        <w:tc>
          <w:tcPr>
            <w:tcW w:type="pct" w:w="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Bartender</w:t>
            </w:r>
          </w:p>
        </w:tc>
        <w:tc>
          <w:tcPr>
            <w:tcW w:type="pct" w:w="28%"/>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Portland, Santa Monica</w:t>
            </w:r>
          </w:p>
        </w:tc>
        <w:tc>
          <w:tcPr>
            <w:tcW w:type="pct" w:w="14%"/>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25h</w:t>
            </w:r>
          </w:p>
        </w:tc>
      </w:tr>
      <w:tr>
        <w:tc>
          <w:tcPr>
            <w:tcW w:type="pct" w:w="20%"/>
            <w:tcMar>
              <w:top w:type="dxa" w:w="80"/>
              <w:left w:type="dxa" w:w="120"/>
              <w:bottom w:type="dxa" w:w="80"/>
              <w:right w:type="dxa" w:w="120"/>
            </w:tcMar>
          </w:tcPr>
          <w:p>
            <w:pPr>
              <w:spacing w:after="0" w:line="260"/>
            </w:pPr>
            <w:r>
              <w:rPr>
                <w:rFonts w:ascii="Calibri" w:cs="Calibri" w:eastAsia="Calibri" w:hAnsi="Calibri"/>
                <w:b/>
                <w:bCs/>
                <w:sz w:val="20"/>
                <w:szCs w:val="20"/>
              </w:rPr>
              <w:t xml:space="preserve">Ollie Brennan</w:t>
            </w:r>
          </w:p>
        </w:tc>
        <w:tc>
          <w:tcPr>
            <w:tcW w:type="pct" w:w="12%"/>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Staff</w:t>
            </w:r>
          </w:p>
        </w:tc>
        <w:tc>
          <w:tcPr>
            <w:tcW w:type="pct" w:w="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Dishwasher</w:t>
            </w:r>
          </w:p>
        </w:tc>
        <w:tc>
          <w:tcPr>
            <w:tcW w:type="pct" w:w="28%"/>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Charleston</w:t>
            </w:r>
          </w:p>
        </w:tc>
        <w:tc>
          <w:tcPr>
            <w:tcW w:type="pct" w:w="14%"/>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16h</w:t>
            </w:r>
          </w:p>
        </w:tc>
      </w:tr>
      <w:tr>
        <w:tc>
          <w:tcPr>
            <w:tcW w:type="pct" w:w="20%"/>
            <w:tcMar>
              <w:top w:type="dxa" w:w="80"/>
              <w:left w:type="dxa" w:w="120"/>
              <w:bottom w:type="dxa" w:w="80"/>
              <w:right w:type="dxa" w:w="120"/>
            </w:tcMar>
          </w:tcPr>
          <w:p>
            <w:pPr>
              <w:spacing w:after="0" w:line="260"/>
            </w:pPr>
            <w:r>
              <w:rPr>
                <w:rFonts w:ascii="Calibri" w:cs="Calibri" w:eastAsia="Calibri" w:hAnsi="Calibri"/>
                <w:b/>
                <w:bCs/>
                <w:sz w:val="20"/>
                <w:szCs w:val="20"/>
              </w:rPr>
              <w:t xml:space="preserve">Rosa Delgado</w:t>
            </w:r>
          </w:p>
        </w:tc>
        <w:tc>
          <w:tcPr>
            <w:tcW w:type="pct" w:w="12%"/>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Staff</w:t>
            </w:r>
          </w:p>
        </w:tc>
        <w:tc>
          <w:tcPr>
            <w:tcW w:type="pct" w:w="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Host, Server</w:t>
            </w:r>
          </w:p>
        </w:tc>
        <w:tc>
          <w:tcPr>
            <w:tcW w:type="pct" w:w="28%"/>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Portland, Santa Monica</w:t>
            </w:r>
          </w:p>
        </w:tc>
        <w:tc>
          <w:tcPr>
            <w:tcW w:type="pct" w:w="14%"/>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30h</w:t>
            </w:r>
          </w:p>
        </w:tc>
      </w:tr>
      <w:tr>
        <w:tc>
          <w:tcPr>
            <w:tcW w:type="pct" w:w="20%"/>
            <w:tcMar>
              <w:top w:type="dxa" w:w="80"/>
              <w:left w:type="dxa" w:w="120"/>
              <w:bottom w:type="dxa" w:w="80"/>
              <w:right w:type="dxa" w:w="120"/>
            </w:tcMar>
          </w:tcPr>
          <w:p>
            <w:pPr>
              <w:spacing w:after="0" w:line="260"/>
            </w:pPr>
            <w:r>
              <w:rPr>
                <w:rFonts w:ascii="Calibri" w:cs="Calibri" w:eastAsia="Calibri" w:hAnsi="Calibri"/>
                <w:b/>
                <w:bCs/>
                <w:sz w:val="20"/>
                <w:szCs w:val="20"/>
              </w:rPr>
              <w:t xml:space="preserve">Sarah Chen</w:t>
            </w:r>
          </w:p>
        </w:tc>
        <w:tc>
          <w:tcPr>
            <w:tcW w:type="pct" w:w="12%"/>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Staff</w:t>
            </w:r>
          </w:p>
        </w:tc>
        <w:tc>
          <w:tcPr>
            <w:tcW w:type="pct" w:w="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Bartender, Server</w:t>
            </w:r>
          </w:p>
        </w:tc>
        <w:tc>
          <w:tcPr>
            <w:tcW w:type="pct" w:w="28%"/>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Charleston, Santa Monica</w:t>
            </w:r>
          </w:p>
        </w:tc>
        <w:tc>
          <w:tcPr>
            <w:tcW w:type="pct" w:w="14%"/>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32h</w:t>
            </w:r>
          </w:p>
        </w:tc>
      </w:tr>
      <w:tr>
        <w:tc>
          <w:tcPr>
            <w:tcW w:type="pct" w:w="20%"/>
            <w:tcMar>
              <w:top w:type="dxa" w:w="80"/>
              <w:left w:type="dxa" w:w="120"/>
              <w:bottom w:type="dxa" w:w="80"/>
              <w:right w:type="dxa" w:w="120"/>
            </w:tcMar>
          </w:tcPr>
          <w:p>
            <w:pPr>
              <w:spacing w:after="0" w:line="260"/>
            </w:pPr>
            <w:r>
              <w:rPr>
                <w:rFonts w:ascii="Calibri" w:cs="Calibri" w:eastAsia="Calibri" w:hAnsi="Calibri"/>
                <w:b/>
                <w:bCs/>
                <w:sz w:val="20"/>
                <w:szCs w:val="20"/>
              </w:rPr>
              <w:t xml:space="preserve">Tom Okafor</w:t>
            </w:r>
          </w:p>
        </w:tc>
        <w:tc>
          <w:tcPr>
            <w:tcW w:type="pct" w:w="12%"/>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Staff</w:t>
            </w:r>
          </w:p>
        </w:tc>
        <w:tc>
          <w:tcPr>
            <w:tcW w:type="pct" w:w="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Line Cook</w:t>
            </w:r>
          </w:p>
        </w:tc>
        <w:tc>
          <w:tcPr>
            <w:tcW w:type="pct" w:w="28%"/>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Charleston</w:t>
            </w:r>
          </w:p>
        </w:tc>
        <w:tc>
          <w:tcPr>
            <w:tcW w:type="pct" w:w="14%"/>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35h</w:t>
            </w:r>
          </w:p>
        </w:tc>
      </w:tr>
      <w:tr>
        <w:tc>
          <w:tcPr>
            <w:tcW w:type="pct" w:w="20%"/>
            <w:tcMar>
              <w:top w:type="dxa" w:w="80"/>
              <w:left w:type="dxa" w:w="120"/>
              <w:bottom w:type="dxa" w:w="80"/>
              <w:right w:type="dxa" w:w="120"/>
            </w:tcMar>
          </w:tcPr>
          <w:p>
            <w:pPr>
              <w:spacing w:after="0" w:line="260"/>
            </w:pPr>
            <w:r>
              <w:rPr>
                <w:rFonts w:ascii="Calibri" w:cs="Calibri" w:eastAsia="Calibri" w:hAnsi="Calibri"/>
                <w:b/>
                <w:bCs/>
                <w:sz w:val="20"/>
                <w:szCs w:val="20"/>
              </w:rPr>
              <w:t xml:space="preserve">Wes Tanaka</w:t>
            </w:r>
          </w:p>
        </w:tc>
        <w:tc>
          <w:tcPr>
            <w:tcW w:type="pct" w:w="12%"/>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Staff</w:t>
            </w:r>
          </w:p>
        </w:tc>
        <w:tc>
          <w:tcPr>
            <w:tcW w:type="pct" w:w="26%"/>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Dishwasher, Line Cook</w:t>
            </w:r>
          </w:p>
        </w:tc>
        <w:tc>
          <w:tcPr>
            <w:tcW w:type="pct" w:w="28%"/>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Santa Monica</w:t>
            </w:r>
          </w:p>
        </w:tc>
        <w:tc>
          <w:tcPr>
            <w:tcW w:type="pct" w:w="14%"/>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30h</w:t>
            </w:r>
          </w:p>
        </w:tc>
      </w:tr>
    </w:tbl>
    <w:p>
      <w:pPr>
        <w:spacing w:after="160"/>
      </w:pPr>
    </w:p>
    <w:p>
      <w:pPr>
        <w:spacing w:after="160" w:line="280"/>
      </w:pPr>
      <w:r>
        <w:rPr>
          <w:rFonts w:ascii="Calibri" w:cs="Calibri" w:eastAsia="Calibri" w:hAnsi="Calibri"/>
          <w:sz w:val="21"/>
          <w:szCs w:val="21"/>
        </w:rPr>
        <w:t xml:space="preserve">Wes Tanaka was de-certified from Portland 30 days ago, which is why only Santa Monica is listed. His Portland history is intact and still counts towards hours and cost; he simply cannot be scheduled there again.</w:t>
      </w:r>
    </w:p>
    <w:p>
      <w:pPr>
        <w:pStyle w:val="Heading2"/>
        <w:spacing w:after="140" w:before="320"/>
      </w:pPr>
      <w:r>
        <w:rPr>
          <w:rFonts w:ascii="Calibri" w:cs="Calibri" w:eastAsia="Calibri" w:hAnsi="Calibri"/>
          <w:b/>
          <w:bCs/>
          <w:color w:val="1F4E5F"/>
          <w:sz w:val="26"/>
          <w:szCs w:val="26"/>
        </w:rPr>
        <w:t xml:space="preserve">Where to find each evaluation scenario</w:t>
      </w:r>
    </w:p>
    <w:p>
      <w:pPr>
        <w:spacing w:after="160" w:line="280"/>
      </w:pPr>
      <w:r>
        <w:rPr>
          <w:rFonts w:ascii="Calibri" w:cs="Calibri" w:eastAsia="Calibri" w:hAnsi="Calibri"/>
          <w:sz w:val="21"/>
          <w:szCs w:val="21"/>
        </w:rPr>
        <w:t xml:space="preserve">npm run verify prints the numbers behind all of these straight from the database, if you would rather read them than click.</w:t>
      </w:r>
    </w:p>
    <w:p>
      <w:pPr>
        <w:spacing w:after="90" w:line="280"/>
        <w:ind w:left="360" w:hanging="260"/>
      </w:pPr>
      <w:r>
        <w:rPr>
          <w:rFonts w:ascii="Calibri" w:cs="Calibri" w:eastAsia="Calibri" w:hAnsi="Calibri"/>
          <w:color w:val="595959"/>
          <w:sz w:val="21"/>
          <w:szCs w:val="21"/>
        </w:rPr>
        <w:t xml:space="preserve">•  </w:t>
      </w:r>
      <w:r>
        <w:rPr>
          <w:rFonts w:ascii="Calibri" w:cs="Calibri" w:eastAsia="Calibri" w:hAnsi="Calibri"/>
          <w:b/>
          <w:bCs/>
          <w:sz w:val="21"/>
          <w:szCs w:val="21"/>
        </w:rPr>
        <w:t xml:space="preserve">1 — Sunday Night Chaos.</w:t>
      </w:r>
      <w:r>
        <w:rPr>
          <w:rFonts w:ascii="Calibri" w:cs="Calibri" w:eastAsia="Calibri" w:hAnsi="Calibri"/>
          <w:sz w:val="21"/>
          <w:szCs w:val="21"/>
        </w:rPr>
        <w:t xml:space="preserve"> Sign in as Priya; the dashboard opens on Coverage gaps. Click a gap, then </w:t>
      </w:r>
      <w:r>
        <w:rPr>
          <w:rFonts w:ascii="Calibri" w:cs="Calibri" w:eastAsia="Calibri" w:hAnsi="Calibri"/>
          <w:b/>
          <w:bCs/>
          <w:sz w:val="21"/>
          <w:szCs w:val="21"/>
        </w:rPr>
        <w:t xml:space="preserve">Suggest</w:t>
      </w:r>
      <w:r>
        <w:rPr>
          <w:rFonts w:ascii="Calibri" w:cs="Calibri" w:eastAsia="Calibri" w:hAnsi="Calibri"/>
          <w:sz w:val="21"/>
          <w:szCs w:val="21"/>
        </w:rPr>
        <w:t xml:space="preserve"> in the shift drawer. Candidates come back ranked, each with a reason and their week before and after. Anyone the engine would refuse is excluded rather than offered. About four clicks from landing to filled.</w:t>
      </w:r>
    </w:p>
    <w:p>
      <w:pPr>
        <w:spacing w:after="90" w:line="280"/>
        <w:ind w:left="360" w:hanging="260"/>
      </w:pPr>
      <w:r>
        <w:rPr>
          <w:rFonts w:ascii="Calibri" w:cs="Calibri" w:eastAsia="Calibri" w:hAnsi="Calibri"/>
          <w:color w:val="595959"/>
          <w:sz w:val="21"/>
          <w:szCs w:val="21"/>
        </w:rPr>
        <w:t xml:space="preserve">•  </w:t>
      </w:r>
      <w:r>
        <w:rPr>
          <w:rFonts w:ascii="Calibri" w:cs="Calibri" w:eastAsia="Calibri" w:hAnsi="Calibri"/>
          <w:b/>
          <w:bCs/>
          <w:sz w:val="21"/>
          <w:szCs w:val="21"/>
        </w:rPr>
        <w:t xml:space="preserve">2 — The Overtime Trap.</w:t>
      </w:r>
      <w:r>
        <w:rPr>
          <w:rFonts w:ascii="Calibri" w:cs="Calibri" w:eastAsia="Calibri" w:hAnsi="Calibri"/>
          <w:sz w:val="21"/>
          <w:szCs w:val="21"/>
        </w:rPr>
        <w:t xml:space="preserve"> Marcus → </w:t>
      </w:r>
      <w:r>
        <w:rPr>
          <w:rFonts w:ascii="Calibri" w:cs="Calibri" w:eastAsia="Calibri" w:hAnsi="Calibri"/>
          <w:b/>
          <w:bCs/>
          <w:sz w:val="21"/>
          <w:szCs w:val="21"/>
        </w:rPr>
        <w:t xml:space="preserve">Overtime</w:t>
      </w:r>
      <w:r>
        <w:rPr>
          <w:rFonts w:ascii="Calibri" w:cs="Calibri" w:eastAsia="Calibri" w:hAnsi="Calibri"/>
          <w:sz w:val="21"/>
          <w:szCs w:val="21"/>
        </w:rPr>
        <w:t xml:space="preserve"> → next week. Marco Ruiz is at 52 hours with 12 of overtime, split across two locations, so no single roster reveals it. The report names the exact shift that crosses 40 hours, and the same calculation runs in the schedule builder before you commit an assignment.</w:t>
      </w:r>
    </w:p>
    <w:p>
      <w:pPr>
        <w:spacing w:after="90" w:line="280"/>
        <w:ind w:left="360" w:hanging="260"/>
      </w:pPr>
      <w:r>
        <w:rPr>
          <w:rFonts w:ascii="Calibri" w:cs="Calibri" w:eastAsia="Calibri" w:hAnsi="Calibri"/>
          <w:color w:val="595959"/>
          <w:sz w:val="21"/>
          <w:szCs w:val="21"/>
        </w:rPr>
        <w:t xml:space="preserve">•  </w:t>
      </w:r>
      <w:r>
        <w:rPr>
          <w:rFonts w:ascii="Calibri" w:cs="Calibri" w:eastAsia="Calibri" w:hAnsi="Calibri"/>
          <w:b/>
          <w:bCs/>
          <w:sz w:val="21"/>
          <w:szCs w:val="21"/>
        </w:rPr>
        <w:t xml:space="preserve">3 — The Timezone Tangle.</w:t>
      </w:r>
      <w:r>
        <w:rPr>
          <w:rFonts w:ascii="Calibri" w:cs="Calibri" w:eastAsia="Calibri" w:hAnsi="Calibri"/>
          <w:sz w:val="21"/>
          <w:szCs w:val="21"/>
        </w:rPr>
        <w:t xml:space="preserve"> Sarah Chen → </w:t>
      </w:r>
      <w:r>
        <w:rPr>
          <w:rFonts w:ascii="Calibri" w:cs="Calibri" w:eastAsia="Calibri" w:hAnsi="Calibri"/>
          <w:b/>
          <w:bCs/>
          <w:sz w:val="21"/>
          <w:szCs w:val="21"/>
        </w:rPr>
        <w:t xml:space="preserve">My availability</w:t>
      </w:r>
      <w:r>
        <w:rPr>
          <w:rFonts w:ascii="Calibri" w:cs="Calibri" w:eastAsia="Calibri" w:hAnsi="Calibri"/>
          <w:sz w:val="21"/>
          <w:szCs w:val="21"/>
        </w:rPr>
        <w:t xml:space="preserve">. Because she is certified in both zones, each window carries a timezone choice: local to whichever location she is working (Sarah), or anchored to one zone (Elena Vasquez). Assigning Elena to a 9am Charleston shift is blocked, naming the uncovered hours in Charleston time.</w:t>
      </w:r>
    </w:p>
    <w:p>
      <w:pPr>
        <w:spacing w:after="90" w:line="280"/>
        <w:ind w:left="360" w:hanging="260"/>
      </w:pPr>
      <w:r>
        <w:rPr>
          <w:rFonts w:ascii="Calibri" w:cs="Calibri" w:eastAsia="Calibri" w:hAnsi="Calibri"/>
          <w:color w:val="595959"/>
          <w:sz w:val="21"/>
          <w:szCs w:val="21"/>
        </w:rPr>
        <w:t xml:space="preserve">•  </w:t>
      </w:r>
      <w:r>
        <w:rPr>
          <w:rFonts w:ascii="Calibri" w:cs="Calibri" w:eastAsia="Calibri" w:hAnsi="Calibri"/>
          <w:b/>
          <w:bCs/>
          <w:sz w:val="21"/>
          <w:szCs w:val="21"/>
        </w:rPr>
        <w:t xml:space="preserve">4 — The Simultaneous Assignment.</w:t>
      </w:r>
      <w:r>
        <w:rPr>
          <w:rFonts w:ascii="Calibri" w:cs="Calibri" w:eastAsia="Calibri" w:hAnsi="Calibri"/>
          <w:sz w:val="21"/>
          <w:szCs w:val="21"/>
        </w:rPr>
        <w:t xml:space="preserve"> Covered by npx vitest run tests/concurrency.test.ts, which fires two assignments at the same instant. Exactly one wins; the loser gets a double-booking refusal naming the other location, a live conflict toast, and alternatives. One row lands in the database.</w:t>
      </w:r>
    </w:p>
    <w:p>
      <w:pPr>
        <w:spacing w:after="90" w:line="280"/>
        <w:ind w:left="360" w:hanging="260"/>
      </w:pPr>
      <w:r>
        <w:rPr>
          <w:rFonts w:ascii="Calibri" w:cs="Calibri" w:eastAsia="Calibri" w:hAnsi="Calibri"/>
          <w:color w:val="595959"/>
          <w:sz w:val="21"/>
          <w:szCs w:val="21"/>
        </w:rPr>
        <w:t xml:space="preserve">•  </w:t>
      </w:r>
      <w:r>
        <w:rPr>
          <w:rFonts w:ascii="Calibri" w:cs="Calibri" w:eastAsia="Calibri" w:hAnsi="Calibri"/>
          <w:b/>
          <w:bCs/>
          <w:sz w:val="21"/>
          <w:szCs w:val="21"/>
        </w:rPr>
        <w:t xml:space="preserve">5 — The Fairness Complaint.</w:t>
      </w:r>
      <w:r>
        <w:rPr>
          <w:rFonts w:ascii="Calibri" w:cs="Calibri" w:eastAsia="Calibri" w:hAnsi="Calibri"/>
          <w:sz w:val="21"/>
          <w:szCs w:val="21"/>
        </w:rPr>
        <w:t xml:space="preserve"> Priya → </w:t>
      </w:r>
      <w:r>
        <w:rPr>
          <w:rFonts w:ascii="Calibri" w:cs="Calibri" w:eastAsia="Calibri" w:hAnsi="Calibri"/>
          <w:b/>
          <w:bCs/>
          <w:sz w:val="21"/>
          <w:szCs w:val="21"/>
        </w:rPr>
        <w:t xml:space="preserve">Fairness</w:t>
      </w:r>
      <w:r>
        <w:rPr>
          <w:rFonts w:ascii="Calibri" w:cs="Calibri" w:eastAsia="Calibri" w:hAnsi="Calibri"/>
          <w:sz w:val="21"/>
          <w:szCs w:val="21"/>
        </w:rPr>
        <w:t xml:space="preserve">. Jordan Blake has 0 premium shifts against roughly 2 expected and is flagged under-served, with the full ledger of who worked every Friday and Saturday evening.</w:t>
      </w:r>
    </w:p>
    <w:p>
      <w:pPr>
        <w:spacing w:after="90" w:line="280"/>
        <w:ind w:left="360" w:hanging="260"/>
      </w:pPr>
      <w:r>
        <w:rPr>
          <w:rFonts w:ascii="Calibri" w:cs="Calibri" w:eastAsia="Calibri" w:hAnsi="Calibri"/>
          <w:color w:val="595959"/>
          <w:sz w:val="21"/>
          <w:szCs w:val="21"/>
        </w:rPr>
        <w:t xml:space="preserve">•  </w:t>
      </w:r>
      <w:r>
        <w:rPr>
          <w:rFonts w:ascii="Calibri" w:cs="Calibri" w:eastAsia="Calibri" w:hAnsi="Calibri"/>
          <w:b/>
          <w:bCs/>
          <w:sz w:val="21"/>
          <w:szCs w:val="21"/>
        </w:rPr>
        <w:t xml:space="preserve">6 — The Regret Swap.</w:t>
      </w:r>
      <w:r>
        <w:rPr>
          <w:rFonts w:ascii="Calibri" w:cs="Calibri" w:eastAsia="Calibri" w:hAnsi="Calibri"/>
          <w:sz w:val="21"/>
          <w:szCs w:val="21"/>
        </w:rPr>
        <w:t xml:space="preserve"> Sign in as Tom → </w:t>
      </w:r>
      <w:r>
        <w:rPr>
          <w:rFonts w:ascii="Calibri" w:cs="Calibri" w:eastAsia="Calibri" w:hAnsi="Calibri"/>
          <w:b/>
          <w:bCs/>
          <w:sz w:val="21"/>
          <w:szCs w:val="21"/>
        </w:rPr>
        <w:t xml:space="preserve">My requests</w:t>
      </w:r>
      <w:r>
        <w:rPr>
          <w:rFonts w:ascii="Calibri" w:cs="Calibri" w:eastAsia="Calibri" w:hAnsi="Calibri"/>
          <w:sz w:val="21"/>
          <w:szCs w:val="21"/>
        </w:rPr>
        <w:t xml:space="preserve"> → </w:t>
      </w:r>
      <w:r>
        <w:rPr>
          <w:rFonts w:ascii="Calibri" w:cs="Calibri" w:eastAsia="Calibri" w:hAnsi="Calibri"/>
          <w:b/>
          <w:bCs/>
          <w:sz w:val="21"/>
          <w:szCs w:val="21"/>
        </w:rPr>
        <w:t xml:space="preserve">Withdraw</w:t>
      </w:r>
      <w:r>
        <w:rPr>
          <w:rFonts w:ascii="Calibri" w:cs="Calibri" w:eastAsia="Calibri" w:hAnsi="Calibri"/>
          <w:sz w:val="21"/>
          <w:szCs w:val="21"/>
        </w:rPr>
        <w:t xml:space="preserve">. Nothing needs repairing because nothing moved: the original assignment stands until a manager approves. Both the counterparty and the manager are notified.</w:t>
      </w:r>
    </w:p>
    <w:p>
      <w:pPr>
        <w:spacing w:after="90" w:line="280"/>
        <w:ind w:left="360" w:hanging="260"/>
      </w:pPr>
      <w:r>
        <w:rPr>
          <w:rFonts w:ascii="Calibri" w:cs="Calibri" w:eastAsia="Calibri" w:hAnsi="Calibri"/>
          <w:color w:val="595959"/>
          <w:sz w:val="21"/>
          <w:szCs w:val="21"/>
        </w:rPr>
        <w:t xml:space="preserve">•  </w:t>
      </w:r>
      <w:r>
        <w:rPr>
          <w:rFonts w:ascii="Calibri" w:cs="Calibri" w:eastAsia="Calibri" w:hAnsi="Calibri"/>
          <w:b/>
          <w:bCs/>
          <w:sz w:val="21"/>
          <w:szCs w:val="21"/>
        </w:rPr>
        <w:t xml:space="preserve">Bonus — the compliance panel.</w:t>
      </w:r>
      <w:r>
        <w:rPr>
          <w:rFonts w:ascii="Calibri" w:cs="Calibri" w:eastAsia="Calibri" w:hAnsi="Calibri"/>
          <w:sz w:val="21"/>
          <w:szCs w:val="21"/>
        </w:rPr>
        <w:t xml:space="preserve"> Marcus → </w:t>
      </w:r>
      <w:r>
        <w:rPr>
          <w:rFonts w:ascii="Calibri" w:cs="Calibri" w:eastAsia="Calibri" w:hAnsi="Calibri"/>
          <w:b/>
          <w:bCs/>
          <w:sz w:val="21"/>
          <w:szCs w:val="21"/>
        </w:rPr>
        <w:t xml:space="preserve">Build schedule</w:t>
      </w:r>
      <w:r>
        <w:rPr>
          <w:rFonts w:ascii="Calibri" w:cs="Calibri" w:eastAsia="Calibri" w:hAnsi="Calibri"/>
          <w:sz w:val="21"/>
          <w:szCs w:val="21"/>
        </w:rPr>
        <w:t xml:space="preserve">, then back one week. Marco has a 9-hour turnaround against the 10-hour minimum. It is the only rule breach in the seed and it is deliberate — every other seeded assignment is validated against the real availability resolver before it is written.</w:t>
      </w:r>
    </w:p>
    <w:p>
      <w:pPr>
        <w:pStyle w:val="Heading2"/>
        <w:spacing w:after="140" w:before="320"/>
      </w:pPr>
      <w:r>
        <w:rPr>
          <w:rFonts w:ascii="Calibri" w:cs="Calibri" w:eastAsia="Calibri" w:hAnsi="Calibri"/>
          <w:b/>
          <w:bCs/>
          <w:color w:val="1F4E5F"/>
          <w:sz w:val="26"/>
          <w:szCs w:val="26"/>
        </w:rPr>
        <w:t xml:space="preserve">Known limitations</w:t>
      </w:r>
    </w:p>
    <w:p>
      <w:pPr>
        <w:spacing w:after="90" w:line="280"/>
        <w:ind w:left="360" w:hanging="260"/>
      </w:pPr>
      <w:r>
        <w:rPr>
          <w:rFonts w:ascii="Calibri" w:cs="Calibri" w:eastAsia="Calibri" w:hAnsi="Calibri"/>
          <w:color w:val="595959"/>
          <w:sz w:val="21"/>
          <w:szCs w:val="21"/>
        </w:rPr>
        <w:t xml:space="preserve">1.  </w:t>
      </w:r>
      <w:r>
        <w:rPr>
          <w:rFonts w:ascii="Calibri" w:cs="Calibri" w:eastAsia="Calibri" w:hAnsi="Calibri"/>
          <w:b/>
          <w:bCs/>
          <w:sz w:val="21"/>
          <w:szCs w:val="21"/>
        </w:rPr>
        <w:t xml:space="preserve">No pagination anywhere.</w:t>
      </w:r>
      <w:r>
        <w:rPr>
          <w:rFonts w:ascii="Calibri" w:cs="Calibri" w:eastAsia="Calibri" w:hAnsi="Calibri"/>
          <w:sz w:val="21"/>
          <w:szCs w:val="21"/>
        </w:rPr>
        <w:t xml:space="preserve"> The audit view shows the 60 most recent entries and exports cover up to 10,000 rows. Fine at seed scale, wrong at a year of history.</w:t>
      </w:r>
    </w:p>
    <w:p>
      <w:pPr>
        <w:spacing w:after="90" w:line="280"/>
        <w:ind w:left="360" w:hanging="260"/>
      </w:pPr>
      <w:r>
        <w:rPr>
          <w:rFonts w:ascii="Calibri" w:cs="Calibri" w:eastAsia="Calibri" w:hAnsi="Calibri"/>
          <w:color w:val="595959"/>
          <w:sz w:val="21"/>
          <w:szCs w:val="21"/>
        </w:rPr>
        <w:t xml:space="preserve">2.  </w:t>
      </w:r>
      <w:r>
        <w:rPr>
          <w:rFonts w:ascii="Calibri" w:cs="Calibri" w:eastAsia="Calibri" w:hAnsi="Calibri"/>
          <w:b/>
          <w:bCs/>
          <w:sz w:val="21"/>
          <w:szCs w:val="21"/>
        </w:rPr>
        <w:t xml:space="preserve">Drop requests expire on page load, not on a timer.</w:t>
      </w:r>
      <w:r>
        <w:rPr>
          <w:rFonts w:ascii="Calibri" w:cs="Calibri" w:eastAsia="Calibri" w:hAnsi="Calibri"/>
          <w:sz w:val="21"/>
          <w:szCs w:val="21"/>
        </w:rPr>
        <w:t xml:space="preserve"> The deploy target has no cron. Read paths also filter on the expiry time, so an unswept row is never shown as live — it is only left sitting in the table.</w:t>
      </w:r>
    </w:p>
    <w:p>
      <w:pPr>
        <w:spacing w:after="90" w:line="280"/>
        <w:ind w:left="360" w:hanging="260"/>
      </w:pPr>
      <w:r>
        <w:rPr>
          <w:rFonts w:ascii="Calibri" w:cs="Calibri" w:eastAsia="Calibri" w:hAnsi="Calibri"/>
          <w:color w:val="595959"/>
          <w:sz w:val="21"/>
          <w:szCs w:val="21"/>
        </w:rPr>
        <w:t xml:space="preserve">3.  </w:t>
      </w:r>
      <w:r>
        <w:rPr>
          <w:rFonts w:ascii="Calibri" w:cs="Calibri" w:eastAsia="Calibri" w:hAnsi="Calibri"/>
          <w:b/>
          <w:bCs/>
          <w:sz w:val="21"/>
          <w:szCs w:val="21"/>
        </w:rPr>
        <w:t xml:space="preserve">Suggestions evaluate up to 60 candidates per request.</w:t>
      </w:r>
      <w:r>
        <w:rPr>
          <w:rFonts w:ascii="Calibri" w:cs="Calibri" w:eastAsia="Calibri" w:hAnsi="Calibri"/>
          <w:sz w:val="21"/>
          <w:szCs w:val="21"/>
        </w:rPr>
        <w:t xml:space="preserve"> Correct, but the cost grows linearly with headcount; a chain of 500 staff would want an indexed pre-filter.</w:t>
      </w:r>
    </w:p>
    <w:p>
      <w:pPr>
        <w:spacing w:after="90" w:line="280"/>
        <w:ind w:left="360" w:hanging="260"/>
      </w:pPr>
      <w:r>
        <w:rPr>
          <w:rFonts w:ascii="Calibri" w:cs="Calibri" w:eastAsia="Calibri" w:hAnsi="Calibri"/>
          <w:color w:val="595959"/>
          <w:sz w:val="21"/>
          <w:szCs w:val="21"/>
        </w:rPr>
        <w:t xml:space="preserve">4.  </w:t>
      </w:r>
      <w:r>
        <w:rPr>
          <w:rFonts w:ascii="Calibri" w:cs="Calibri" w:eastAsia="Calibri" w:hAnsi="Calibri"/>
          <w:b/>
          <w:bCs/>
          <w:sz w:val="21"/>
          <w:szCs w:val="21"/>
        </w:rPr>
        <w:t xml:space="preserve">The what-if preview is advisory.</w:t>
      </w:r>
      <w:r>
        <w:rPr>
          <w:rFonts w:ascii="Calibri" w:cs="Calibri" w:eastAsia="Calibri" w:hAnsi="Calibri"/>
          <w:sz w:val="21"/>
          <w:szCs w:val="21"/>
        </w:rPr>
        <w:t xml:space="preserve"> The authoritative check re-runs inside the write transaction against fresh data, so the preview can only ever be more permissive than the save, never less. You cannot be shown "this is fine" and then have it succeed when it should not.</w:t>
      </w:r>
    </w:p>
    <w:p>
      <w:pPr>
        <w:spacing w:after="90" w:line="280"/>
        <w:ind w:left="360" w:hanging="260"/>
      </w:pPr>
      <w:r>
        <w:rPr>
          <w:rFonts w:ascii="Calibri" w:cs="Calibri" w:eastAsia="Calibri" w:hAnsi="Calibri"/>
          <w:color w:val="595959"/>
          <w:sz w:val="21"/>
          <w:szCs w:val="21"/>
        </w:rPr>
        <w:t xml:space="preserve">5.  </w:t>
      </w:r>
      <w:r>
        <w:rPr>
          <w:rFonts w:ascii="Calibri" w:cs="Calibri" w:eastAsia="Calibri" w:hAnsi="Calibri"/>
          <w:b/>
          <w:bCs/>
          <w:sz w:val="21"/>
          <w:szCs w:val="21"/>
        </w:rPr>
        <w:t xml:space="preserve">Editing a shift does not re-validate the staff already assigned to it.</w:t>
      </w:r>
      <w:r>
        <w:rPr>
          <w:rFonts w:ascii="Calibri" w:cs="Calibri" w:eastAsia="Calibri" w:hAnsi="Calibri"/>
          <w:sz w:val="21"/>
          <w:szCs w:val="21"/>
        </w:rPr>
        <w:t xml:space="preserve"> Moving a shift can therefore create a rest violation on an existing assignment. The compliance panel surfaces it rather than blocking the edit, on the reasoning that a manager mid-edit should not be trapped.</w:t>
      </w:r>
    </w:p>
    <w:p>
      <w:pPr>
        <w:spacing w:after="90" w:line="280"/>
        <w:ind w:left="360" w:hanging="260"/>
      </w:pPr>
      <w:r>
        <w:rPr>
          <w:rFonts w:ascii="Calibri" w:cs="Calibri" w:eastAsia="Calibri" w:hAnsi="Calibri"/>
          <w:color w:val="595959"/>
          <w:sz w:val="21"/>
          <w:szCs w:val="21"/>
        </w:rPr>
        <w:t xml:space="preserve">6.  </w:t>
      </w:r>
      <w:r>
        <w:rPr>
          <w:rFonts w:ascii="Calibri" w:cs="Calibri" w:eastAsia="Calibri" w:hAnsi="Calibri"/>
          <w:b/>
          <w:bCs/>
          <w:sz w:val="21"/>
          <w:szCs w:val="21"/>
        </w:rPr>
        <w:t xml:space="preserve">Skills, certifications and staff records are read-only.</w:t>
      </w:r>
      <w:r>
        <w:rPr>
          <w:rFonts w:ascii="Calibri" w:cs="Calibri" w:eastAsia="Calibri" w:hAnsi="Calibri"/>
          <w:sz w:val="21"/>
          <w:szCs w:val="21"/>
        </w:rPr>
        <w:t xml:space="preserve"> The seed creates them and the Team page displays them, but there is no admin CRUD. So when a refusal says "certify Sarah at Santa Monica", that describes a database change, not a button. The audit actions for it exist; nothing writes them yet.</w:t>
      </w:r>
    </w:p>
    <w:p>
      <w:pPr>
        <w:spacing w:after="90" w:line="280"/>
        <w:ind w:left="360" w:hanging="260"/>
      </w:pPr>
      <w:r>
        <w:rPr>
          <w:rFonts w:ascii="Calibri" w:cs="Calibri" w:eastAsia="Calibri" w:hAnsi="Calibri"/>
          <w:color w:val="595959"/>
          <w:sz w:val="21"/>
          <w:szCs w:val="21"/>
        </w:rPr>
        <w:t xml:space="preserve">7.  </w:t>
      </w:r>
      <w:r>
        <w:rPr>
          <w:rFonts w:ascii="Calibri" w:cs="Calibri" w:eastAsia="Calibri" w:hAnsi="Calibri"/>
          <w:b/>
          <w:bCs/>
          <w:sz w:val="21"/>
          <w:szCs w:val="21"/>
        </w:rPr>
        <w:t xml:space="preserve">Below 320px wide the layout crowds.</w:t>
      </w:r>
      <w:r>
        <w:rPr>
          <w:rFonts w:ascii="Calibri" w:cs="Calibri" w:eastAsia="Calibri" w:hAnsi="Calibri"/>
          <w:sz w:val="21"/>
          <w:szCs w:val="21"/>
        </w:rPr>
        <w:t xml:space="preserve"> Tested at 375, 768 and 1280; narrower than that was not a target.</w:t>
      </w:r>
    </w:p>
    <w:p>
      <w:pPr>
        <w:spacing w:after="90" w:line="280"/>
        <w:ind w:left="360" w:hanging="260"/>
      </w:pPr>
      <w:r>
        <w:rPr>
          <w:rFonts w:ascii="Calibri" w:cs="Calibri" w:eastAsia="Calibri" w:hAnsi="Calibri"/>
          <w:color w:val="595959"/>
          <w:sz w:val="21"/>
          <w:szCs w:val="21"/>
        </w:rPr>
        <w:t xml:space="preserve">8.  </w:t>
      </w:r>
      <w:r>
        <w:rPr>
          <w:rFonts w:ascii="Calibri" w:cs="Calibri" w:eastAsia="Calibri" w:hAnsi="Calibri"/>
          <w:b/>
          <w:bCs/>
          <w:sz w:val="21"/>
          <w:szCs w:val="21"/>
        </w:rPr>
        <w:t xml:space="preserve">Real-time streams are capped by the host.</w:t>
      </w:r>
      <w:r>
        <w:rPr>
          <w:rFonts w:ascii="Calibri" w:cs="Calibri" w:eastAsia="Calibri" w:hAnsi="Calibri"/>
          <w:sz w:val="21"/>
          <w:szCs w:val="21"/>
        </w:rPr>
        <w:t xml:space="preserve"> On the free Vercel tier a server-sent-events connection is cut after roughly a minute. The browser reconnects on its own and every event has a durable database record behind it, so a dropped stream costs a refresh rather than correctness — but it is visible if you watch one tab for a long time.</w:t>
      </w:r>
    </w:p>
    <w:p>
      <w:pPr>
        <w:spacing w:after="90" w:line="280"/>
        <w:ind w:left="360" w:hanging="260"/>
      </w:pPr>
      <w:r>
        <w:rPr>
          <w:rFonts w:ascii="Calibri" w:cs="Calibri" w:eastAsia="Calibri" w:hAnsi="Calibri"/>
          <w:color w:val="595959"/>
          <w:sz w:val="21"/>
          <w:szCs w:val="21"/>
        </w:rPr>
        <w:t xml:space="preserve">9.  </w:t>
      </w:r>
      <w:r>
        <w:rPr>
          <w:rFonts w:ascii="Calibri" w:cs="Calibri" w:eastAsia="Calibri" w:hAnsi="Calibri"/>
          <w:b/>
          <w:bCs/>
          <w:sz w:val="21"/>
          <w:szCs w:val="21"/>
        </w:rPr>
        <w:t xml:space="preserve">Linting uses oxlint rather than ESLint.</w:t>
      </w:r>
      <w:r>
        <w:rPr>
          <w:rFonts w:ascii="Calibri" w:cs="Calibri" w:eastAsia="Calibri" w:hAnsi="Calibri"/>
          <w:sz w:val="21"/>
          <w:szCs w:val="21"/>
        </w:rPr>
        <w:t xml:space="preserve"> typescript-eslint does not yet support the TypeScript 7 compiler API, so eslint-config-next fails to load against it.</w:t>
      </w:r>
    </w:p>
    <w:p>
      <w:pPr>
        <w:pStyle w:val="Heading2"/>
        <w:spacing w:after="140" w:before="320"/>
      </w:pPr>
      <w:r>
        <w:rPr>
          <w:rFonts w:ascii="Calibri" w:cs="Calibri" w:eastAsia="Calibri" w:hAnsi="Calibri"/>
          <w:b/>
          <w:bCs/>
          <w:color w:val="1F4E5F"/>
          <w:sz w:val="26"/>
          <w:szCs w:val="26"/>
        </w:rPr>
        <w:t xml:space="preserve">Assumptions where the brief was ambiguous</w:t>
      </w:r>
    </w:p>
    <w:p>
      <w:pPr>
        <w:spacing w:after="160" w:line="280"/>
      </w:pPr>
      <w:r>
        <w:rPr>
          <w:rFonts w:ascii="Calibri" w:cs="Calibri" w:eastAsia="Calibri" w:hAnsi="Calibri"/>
          <w:sz w:val="21"/>
          <w:szCs w:val="21"/>
        </w:rPr>
        <w:t xml:space="preserve">The five explicitly flagged ambiguities are answered in the companion document. These are the smaller judgement calls made along the way.</w:t>
      </w:r>
    </w:p>
    <w:p>
      <w:pPr>
        <w:spacing w:after="90" w:line="280"/>
        <w:ind w:left="360" w:hanging="260"/>
      </w:pPr>
      <w:r>
        <w:rPr>
          <w:rFonts w:ascii="Calibri" w:cs="Calibri" w:eastAsia="Calibri" w:hAnsi="Calibri"/>
          <w:color w:val="595959"/>
          <w:sz w:val="21"/>
          <w:szCs w:val="21"/>
        </w:rPr>
        <w:t xml:space="preserve">•  </w:t>
      </w:r>
      <w:r>
        <w:rPr>
          <w:rFonts w:ascii="Calibri" w:cs="Calibri" w:eastAsia="Calibri" w:hAnsi="Calibri"/>
          <w:b/>
          <w:bCs/>
          <w:sz w:val="21"/>
          <w:szCs w:val="21"/>
        </w:rPr>
        <w:t xml:space="preserve">One shared password across all seeded accounts, printed on the login page.</w:t>
      </w:r>
      <w:r>
        <w:rPr>
          <w:rFonts w:ascii="Calibri" w:cs="Calibri" w:eastAsia="Calibri" w:hAnsi="Calibri"/>
          <w:sz w:val="21"/>
          <w:szCs w:val="21"/>
        </w:rPr>
        <w:t xml:space="preserve"> A review convenience so no credential has to be hunted for; obviously not shippable behaviour.</w:t>
      </w:r>
    </w:p>
    <w:p>
      <w:pPr>
        <w:spacing w:after="90" w:line="280"/>
        <w:ind w:left="360" w:hanging="260"/>
      </w:pPr>
      <w:r>
        <w:rPr>
          <w:rFonts w:ascii="Calibri" w:cs="Calibri" w:eastAsia="Calibri" w:hAnsi="Calibri"/>
          <w:color w:val="595959"/>
          <w:sz w:val="21"/>
          <w:szCs w:val="21"/>
        </w:rPr>
        <w:t xml:space="preserve">•  </w:t>
      </w:r>
      <w:r>
        <w:rPr>
          <w:rFonts w:ascii="Calibri" w:cs="Calibri" w:eastAsia="Calibri" w:hAnsi="Calibri"/>
          <w:b/>
          <w:bCs/>
          <w:sz w:val="21"/>
          <w:szCs w:val="21"/>
        </w:rPr>
        <w:t xml:space="preserve">Overtime is a flat 1.5× beyond 40 hours per week.</w:t>
      </w:r>
      <w:r>
        <w:rPr>
          <w:rFonts w:ascii="Calibri" w:cs="Calibri" w:eastAsia="Calibri" w:hAnsi="Calibri"/>
          <w:sz w:val="21"/>
          <w:szCs w:val="21"/>
        </w:rPr>
        <w:t xml:space="preserve"> Real multi-state payroll — California daily overtime, seventh-day rules — would need per-location rule sets rather than one constant.</w:t>
      </w:r>
    </w:p>
    <w:p>
      <w:pPr>
        <w:spacing w:after="90" w:line="280"/>
        <w:ind w:left="360" w:hanging="260"/>
      </w:pPr>
      <w:r>
        <w:rPr>
          <w:rFonts w:ascii="Calibri" w:cs="Calibri" w:eastAsia="Calibri" w:hAnsi="Calibri"/>
          <w:color w:val="595959"/>
          <w:sz w:val="21"/>
          <w:szCs w:val="21"/>
        </w:rPr>
        <w:t xml:space="preserve">•  </w:t>
      </w:r>
      <w:r>
        <w:rPr>
          <w:rFonts w:ascii="Calibri" w:cs="Calibri" w:eastAsia="Calibri" w:hAnsi="Calibri"/>
          <w:b/>
          <w:bCs/>
          <w:sz w:val="21"/>
          <w:szCs w:val="21"/>
        </w:rPr>
        <w:t xml:space="preserve">"Premium" means a shift starting Friday or Saturday at or after 5pm</w:t>
      </w:r>
      <w:r>
        <w:rPr>
          <w:rFonts w:ascii="Calibri" w:cs="Calibri" w:eastAsia="Calibri" w:hAnsi="Calibri"/>
          <w:sz w:val="21"/>
          <w:szCs w:val="21"/>
        </w:rPr>
        <w:t xml:space="preserve">, evaluated in the location’s own timezone. A real operator would configure this per venue; a brunch restaurant’s premium shift is Sunday morning.</w:t>
      </w:r>
    </w:p>
    <w:p>
      <w:pPr>
        <w:spacing w:after="90" w:line="280"/>
        <w:ind w:left="360" w:hanging="260"/>
      </w:pPr>
      <w:r>
        <w:rPr>
          <w:rFonts w:ascii="Calibri" w:cs="Calibri" w:eastAsia="Calibri" w:hAnsi="Calibri"/>
          <w:color w:val="595959"/>
          <w:sz w:val="21"/>
          <w:szCs w:val="21"/>
        </w:rPr>
        <w:t xml:space="preserve">•  </w:t>
      </w:r>
      <w:r>
        <w:rPr>
          <w:rFonts w:ascii="Calibri" w:cs="Calibri" w:eastAsia="Calibri" w:hAnsi="Calibri"/>
          <w:b/>
          <w:bCs/>
          <w:sz w:val="21"/>
          <w:szCs w:val="21"/>
        </w:rPr>
        <w:t xml:space="preserve">Managers are assigned to locations by an admin.</w:t>
      </w:r>
      <w:r>
        <w:rPr>
          <w:rFonts w:ascii="Calibri" w:cs="Calibri" w:eastAsia="Calibri" w:hAnsi="Calibri"/>
          <w:sz w:val="21"/>
          <w:szCs w:val="21"/>
        </w:rPr>
        <w:t xml:space="preserve"> There is no self-service way to claim a location, because the brief describes managers as running specific locations rather than choosing them.</w:t>
      </w:r>
    </w:p>
    <w:p>
      <w:pPr>
        <w:spacing w:after="90" w:line="280"/>
        <w:ind w:left="360" w:hanging="260"/>
      </w:pPr>
      <w:r>
        <w:rPr>
          <w:rFonts w:ascii="Calibri" w:cs="Calibri" w:eastAsia="Calibri" w:hAnsi="Calibri"/>
          <w:color w:val="595959"/>
          <w:sz w:val="21"/>
          <w:szCs w:val="21"/>
        </w:rPr>
        <w:t xml:space="preserve">•  </w:t>
      </w:r>
      <w:r>
        <w:rPr>
          <w:rFonts w:ascii="Calibri" w:cs="Calibri" w:eastAsia="Calibri" w:hAnsi="Calibri"/>
          <w:b/>
          <w:bCs/>
          <w:sz w:val="21"/>
          <w:szCs w:val="21"/>
        </w:rPr>
        <w:t xml:space="preserve">In-app notifications cannot be switched off.</w:t>
      </w:r>
      <w:r>
        <w:rPr>
          <w:rFonts w:ascii="Calibri" w:cs="Calibri" w:eastAsia="Calibri" w:hAnsi="Calibri"/>
          <w:sz w:val="21"/>
          <w:szCs w:val="21"/>
        </w:rPr>
        <w:t xml:space="preserve"> The notification centre is the durable record of what happened, so muting it would lose history. Email is simulated: opted-in messages are written to an outbox an admin can read, and nothing is ever actually sent.</w:t>
      </w:r>
    </w:p>
    <w:p>
      <w:pPr>
        <w:spacing w:after="90" w:line="280"/>
        <w:ind w:left="360" w:hanging="260"/>
      </w:pPr>
      <w:r>
        <w:rPr>
          <w:rFonts w:ascii="Calibri" w:cs="Calibri" w:eastAsia="Calibri" w:hAnsi="Calibri"/>
          <w:color w:val="595959"/>
          <w:sz w:val="21"/>
          <w:szCs w:val="21"/>
        </w:rPr>
        <w:t xml:space="preserve">•  </w:t>
      </w:r>
      <w:r>
        <w:rPr>
          <w:rFonts w:ascii="Calibri" w:cs="Calibri" w:eastAsia="Calibri" w:hAnsi="Calibri"/>
          <w:b/>
          <w:bCs/>
          <w:sz w:val="21"/>
          <w:szCs w:val="21"/>
        </w:rPr>
        <w:t xml:space="preserve">The 48-hour edit cutoff is stored per location</w:t>
      </w:r>
      <w:r>
        <w:rPr>
          <w:rFonts w:ascii="Calibri" w:cs="Calibri" w:eastAsia="Calibri" w:hAnsi="Calibri"/>
          <w:sz w:val="21"/>
          <w:szCs w:val="21"/>
        </w:rPr>
        <w:t xml:space="preserve"> rather than globally, defaulting to 48. The brief called it configurable without saying at what level, and locations are where the operational difference would live.</w:t>
      </w:r>
    </w:p>
    <w:p>
      <w:pPr>
        <w:spacing w:after="90" w:line="280"/>
        <w:ind w:left="360" w:hanging="260"/>
      </w:pPr>
      <w:r>
        <w:rPr>
          <w:rFonts w:ascii="Calibri" w:cs="Calibri" w:eastAsia="Calibri" w:hAnsi="Calibri"/>
          <w:color w:val="595959"/>
          <w:sz w:val="21"/>
          <w:szCs w:val="21"/>
        </w:rPr>
        <w:t xml:space="preserve">•  </w:t>
      </w:r>
      <w:r>
        <w:rPr>
          <w:rFonts w:ascii="Calibri" w:cs="Calibri" w:eastAsia="Calibri" w:hAnsi="Calibri"/>
          <w:b/>
          <w:bCs/>
          <w:sz w:val="21"/>
          <w:szCs w:val="21"/>
        </w:rPr>
        <w:t xml:space="preserve">A week runs Monday to Sunday</w:t>
      </w:r>
      <w:r>
        <w:rPr>
          <w:rFonts w:ascii="Calibri" w:cs="Calibri" w:eastAsia="Calibri" w:hAnsi="Calibri"/>
          <w:sz w:val="21"/>
          <w:szCs w:val="21"/>
        </w:rPr>
        <w:t xml:space="preserve">, in the staff member’s home timezone for hours totals and in the location’s timezone for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2026-08-29T23:01:21.039Z</dcterms:created>
  <dcterms:modified xsi:type="dcterms:W3CDTF">2026-08-29T23:01:21.058Z</dcterms:modified>
</cp:coreProperties>
</file>

<file path=docProps/custom.xml><?xml version="1.0" encoding="utf-8"?>
<Properties xmlns="http://schemas.openxmlformats.org/officeDocument/2006/custom-properties" xmlns:vt="http://schemas.openxmlformats.org/officeDocument/2006/docPropsVTypes"/>
</file>