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In-Depth Analysis of "Defending Against Indirect Prompt Injection Attacks With Spotlighting"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Core Research Question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How can large language models (LLMs) be defended against </w:t>
      </w:r>
      <w:r>
        <w:rPr>
          <w:rFonts w:ascii="Times New Roman" w:hAnsi="Times New Roman" w:eastAsia="Times New Roman" w:cs="Times New Roman"/>
          <w:b/>
          <w:color w:val="000000"/>
          <w:sz w:val="24"/>
        </w:rPr>
        <w:t xml:space="preserve">indirect prompt injection attacks (XPIAs)</w:t>
      </w:r>
      <w:r>
        <w:rPr>
          <w:rFonts w:ascii="Times New Roman" w:hAnsi="Times New Roman" w:eastAsia="Times New Roman" w:cs="Times New Roman"/>
          <w:color w:val="000000"/>
          <w:sz w:val="24"/>
        </w:rPr>
        <w:t xml:space="preserve">—where adversarial instructions are embedded in untrusted external data—while maintaining their performance on core natural language processing (NLP) tasks?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Methodological Approaches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Introduction of Spotlighting</w:t>
      </w:r>
      <w:r>
        <w:rPr>
          <w:rFonts w:ascii="Times New Roman" w:hAnsi="Times New Roman" w:eastAsia="Times New Roman" w:cs="Times New Roman"/>
          <w:color w:val="000000"/>
          <w:sz w:val="24"/>
        </w:rPr>
        <w:t xml:space="preserve">: Spotlighting refers to a family of prompt engineering techniques designed to help LLMs distinguish between trusted system inputs and untrusted external data. The approaches include: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Delimiting</w:t>
      </w:r>
      <w:r>
        <w:rPr>
          <w:rFonts w:ascii="Times New Roman" w:hAnsi="Times New Roman" w:eastAsia="Times New Roman" w:cs="Times New Roman"/>
          <w:color w:val="000000"/>
          <w:sz w:val="24"/>
        </w:rPr>
        <w:t xml:space="preserve">: Encasing untrusted input within clear boundaries using special tokens (e.g., </w:t>
      </w:r>
      <w:r>
        <w:rPr>
          <w:rFonts w:ascii="Courier New" w:hAnsi="Courier New" w:eastAsia="Courier New" w:cs="Courier New"/>
          <w:color w:val="000000"/>
          <w:sz w:val="20"/>
        </w:rPr>
        <w:t xml:space="preserve">&lt;&lt;</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&gt;&gt;</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Datamarking</w:t>
      </w:r>
      <w:r>
        <w:rPr>
          <w:rFonts w:ascii="Times New Roman" w:hAnsi="Times New Roman" w:eastAsia="Times New Roman" w:cs="Times New Roman"/>
          <w:color w:val="000000"/>
          <w:sz w:val="24"/>
        </w:rPr>
        <w:t xml:space="preserve">: Embedding markers (like a special character </w:t>
      </w:r>
      <w:r>
        <w:rPr>
          <w:rFonts w:ascii="Courier New" w:hAnsi="Courier New" w:eastAsia="Courier New" w:cs="Courier New"/>
          <w:color w:val="000000"/>
          <w:sz w:val="20"/>
        </w:rPr>
        <w:t xml:space="preserve">ˆ</w:t>
      </w:r>
      <w:r>
        <w:rPr>
          <w:rFonts w:ascii="Times New Roman" w:hAnsi="Times New Roman" w:eastAsia="Times New Roman" w:cs="Times New Roman"/>
          <w:color w:val="000000"/>
          <w:sz w:val="24"/>
        </w:rPr>
        <w:t xml:space="preserve">) throughout the input to signal its source and encourage the model to treat it cautiously.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Encoding</w:t>
      </w:r>
      <w:r>
        <w:rPr>
          <w:rFonts w:ascii="Times New Roman" w:hAnsi="Times New Roman" w:eastAsia="Times New Roman" w:cs="Times New Roman"/>
          <w:color w:val="000000"/>
          <w:sz w:val="24"/>
        </w:rPr>
        <w:t xml:space="preserve">: Applying transformations like Base64 or ROT13 to input text, creating a unique and recognizable format that separates it from system-level instructions.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Experimental Evaluation</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Synthetic Dataset</w:t>
      </w:r>
      <w:r>
        <w:rPr>
          <w:rFonts w:ascii="Times New Roman" w:hAnsi="Times New Roman" w:eastAsia="Times New Roman" w:cs="Times New Roman"/>
          <w:color w:val="000000"/>
          <w:sz w:val="24"/>
        </w:rPr>
        <w:t xml:space="preserve">: A dataset of 1,000 documents containing indirect prompt injection attacks was created to measure Attack Success Rate (ASR). These attacks included adversarial text instructing the model to ignore previous instructions or execute malicious tasks.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LLM Models</w:t>
      </w:r>
      <w:r>
        <w:rPr>
          <w:rFonts w:ascii="Times New Roman" w:hAnsi="Times New Roman" w:eastAsia="Times New Roman" w:cs="Times New Roman"/>
          <w:color w:val="000000"/>
          <w:sz w:val="24"/>
        </w:rPr>
        <w:t xml:space="preserve">: Experiments were conducted using GPT-family models (text-davinci-003, GPT-3.5-Turbo, and GPT-4), under uniform settings (temperature = 1.0).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Task Performance</w:t>
      </w:r>
      <w:r>
        <w:rPr>
          <w:rFonts w:ascii="Times New Roman" w:hAnsi="Times New Roman" w:eastAsia="Times New Roman" w:cs="Times New Roman"/>
          <w:color w:val="000000"/>
          <w:sz w:val="24"/>
        </w:rPr>
        <w:t xml:space="preserve">: Benchmark datasets (e.g., SQuAD, IMDB Sentiment, SuperGLUE Word-in-Context, BoolQ) were used to evaluate whether spotlighting impaired the model's ability to perform NLP tasks.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Metrics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Attack Success Rate (ASR)</w:t>
      </w:r>
      <w:r>
        <w:rPr>
          <w:rFonts w:ascii="Times New Roman" w:hAnsi="Times New Roman" w:eastAsia="Times New Roman" w:cs="Times New Roman"/>
          <w:color w:val="000000"/>
          <w:sz w:val="24"/>
        </w:rPr>
        <w:t xml:space="preserve">: The fraction of documents where the adversarial instruction successfully bypassed the defense and overtook the system’s intended instructions.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Impact on NLP Tasks</w:t>
      </w:r>
      <w:r>
        <w:rPr>
          <w:rFonts w:ascii="Times New Roman" w:hAnsi="Times New Roman" w:eastAsia="Times New Roman" w:cs="Times New Roman"/>
          <w:color w:val="000000"/>
          <w:sz w:val="24"/>
        </w:rPr>
        <w:t xml:space="preserve">: Measured accuracy and performance on standard benchmarks to ensure spotlighting did not degrade task efficacy.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Most Significant Findings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Reduction in Attack Success Rate (ASR)</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Delimiting</w:t>
      </w:r>
      <w:r>
        <w:rPr>
          <w:rFonts w:ascii="Times New Roman" w:hAnsi="Times New Roman" w:eastAsia="Times New Roman" w:cs="Times New Roman"/>
          <w:color w:val="000000"/>
          <w:sz w:val="24"/>
        </w:rPr>
        <w:t xml:space="preserve">: Provided modest defense, reducing ASR by about 50% for some models (e.g., GPT-3.5-Turbo), but remained vulnerable to adversarial 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Datamarking</w:t>
      </w:r>
      <w:r>
        <w:rPr>
          <w:rFonts w:ascii="Times New Roman" w:hAnsi="Times New Roman" w:eastAsia="Times New Roman" w:cs="Times New Roman"/>
          <w:color w:val="000000"/>
          <w:sz w:val="24"/>
        </w:rPr>
        <w:t xml:space="preserve">: Stronger performance, reducing ASR from over 50% to below 3% in many cases. This approach worked consistently across tasks and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Encoding</w:t>
      </w:r>
      <w:r>
        <w:rPr>
          <w:rFonts w:ascii="Times New Roman" w:hAnsi="Times New Roman" w:eastAsia="Times New Roman" w:cs="Times New Roman"/>
          <w:color w:val="000000"/>
          <w:sz w:val="24"/>
        </w:rPr>
        <w:t xml:space="preserve">: The most robust technique, often reducing ASR to 0.0%. However, it required high-capacity models like GPT-4 to handle encoded inputs without significant degradation in task performance.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Task Performance Preservation</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Datamarking did not impair task performance on standard benchmarks (e.g., SQuAD Q&amp;A, IMDB Sentiment). This indicates that the transformation preserved semantic information while marking text for the model.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Encoding was effective for GPT-4, but earlier-generation models (e.g., GPT-3.5-Turbo) struggled with decoding, resulting in decreased performance on NLP tasks.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Generality Across Models and Tasks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Spotlighting methods were effective across diverse tasks like document summarization and question-answering.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Their model-agnostic nature ensures applicability in various real-world systems that use LLMs for multi-source data processing.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Practical Implications or Potential Impact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Scalable Security for LLM Systems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Spotlighting introduces lightweight, architecture-agnostic defenses that do not require fine-tuning or modification of model internals, making them easily adoptable in deployed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defenses mitigate risks associated with LLMs processing external, potentially adversarial data, such as web pages or user-generated content.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Enhanced Trust in AI Systems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significantly reducing XPIA risks, these techniques improve the reliability of LLM-based applications in high-stakes environments like financial analysis, healthcare, and content moderation.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Blueprint for Future Defense Mechanisms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structural improvements proposed through spotlighting serve as a foundational step toward more advanced security architectures, potentially inspiring techniques analogous to </w:t>
      </w:r>
      <w:r>
        <w:rPr>
          <w:rFonts w:ascii="Times New Roman" w:hAnsi="Times New Roman" w:eastAsia="Times New Roman" w:cs="Times New Roman"/>
          <w:b/>
          <w:color w:val="000000"/>
          <w:sz w:val="24"/>
        </w:rPr>
        <w:t xml:space="preserve">out-of-band signaling</w:t>
      </w:r>
      <w:r>
        <w:rPr>
          <w:rFonts w:ascii="Times New Roman" w:hAnsi="Times New Roman" w:eastAsia="Times New Roman" w:cs="Times New Roman"/>
          <w:color w:val="000000"/>
          <w:sz w:val="24"/>
        </w:rPr>
        <w:t xml:space="preserve"> in telecommunications (discussed in the paper).</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Critical Limitations and Future Research Directions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Adversarial Adaptation</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Simple strategies like delimiting can be easily bypassed by attackers who craft malicious inputs using the same delimiters.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Future implementations should explore </w:t>
      </w:r>
      <w:r>
        <w:rPr>
          <w:rFonts w:ascii="Times New Roman" w:hAnsi="Times New Roman" w:eastAsia="Times New Roman" w:cs="Times New Roman"/>
          <w:b/>
          <w:color w:val="000000"/>
          <w:sz w:val="24"/>
        </w:rPr>
        <w:t xml:space="preserve">dynamic or randomized datamarking</w:t>
      </w:r>
      <w:r>
        <w:rPr>
          <w:rFonts w:ascii="Times New Roman" w:hAnsi="Times New Roman" w:eastAsia="Times New Roman" w:cs="Times New Roman"/>
          <w:color w:val="000000"/>
          <w:sz w:val="24"/>
        </w:rPr>
        <w:t xml:space="preserve"> to prevent adversaries from exploiting predictable patterns.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Dependence on Model Capacity</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Encoding is highly effective but requires advanced LLMs (e.g., GPT-4) to handle transformed text without performance trade-offs. Further work is needed to make encoding robust across lower-capacity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Structural Shortcomings in LLMs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Spotlighting addresses symptoms of the problem (e.g., the inability to distinguish trusted and untrusted inputs) rather than fundamentally resolving the model's reliance on unstructured 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authors propose a future direction involving </w:t>
      </w:r>
      <w:r>
        <w:rPr>
          <w:rFonts w:ascii="Times New Roman" w:hAnsi="Times New Roman" w:eastAsia="Times New Roman" w:cs="Times New Roman"/>
          <w:b/>
          <w:color w:val="000000"/>
          <w:sz w:val="24"/>
        </w:rPr>
        <w:t xml:space="preserve">multi-channel architectures</w:t>
      </w:r>
      <w:r>
        <w:rPr>
          <w:rFonts w:ascii="Times New Roman" w:hAnsi="Times New Roman" w:eastAsia="Times New Roman" w:cs="Times New Roman"/>
          <w:color w:val="000000"/>
          <w:sz w:val="24"/>
        </w:rPr>
        <w:t xml:space="preserve"> (akin to out-of-band signaling) where trusted system-level commands are processed separately from user 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Generalization to New Attack Vectors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Current defenses are evaluated against a limited set of adversarial tactics. Future work must test these methods against more diverse and sophisticated attack strategies to ensure their robustness.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Potential Task-Specific Challenges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effective in many tasks, techniques like encoding may struggle with specific use cases (e.g., code analysis or multilingual tasks) due to inherent constraints in handling encoded text.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Novel Contributions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Introduction of Spotlighting Techniques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paper pioneers three novel prompt-engineering methods (delimiting, datamarking, and encoding) tailored for XPIA defense, advancing the state of prompt security in LLMs.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Comprehensive Evaluation Framework</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defining and rigorously measuring ASR across multiple tasks and models, the research provides a robust methodology for assessing LLM security defenses.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Theoretical Insights and Practical Recommendations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analogy between LLM vulnerabilities and in-band telecommunications signaling highlights the need for architectural redesigns, while practical recommendations guide current system implementations.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Bridging Security and Functionality</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work demonstrates that effective defenses (e.g., datamarking) can enhance security without degrading task performance, an essential criterion for real-world applicability.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Advancing Security Architectures in Generative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research advances the understanding and mitigation of XPIAs, a critical threat to the deployment of LLMs in security-sensitive environments. By addressing the LLMs' inability to differentiate between trusted and untrusted inputs, spotlighting provides</w:t>
      </w:r>
      <w:r>
        <w:rPr>
          <w:rFonts w:ascii="Times New Roman" w:hAnsi="Times New Roman" w:eastAsia="Times New Roman" w:cs="Times New Roman"/>
          <w:color w:val="000000"/>
          <w:sz w:val="24"/>
        </w:rPr>
        <w:t xml:space="preserve"> a much-needed solution to improve system reliability. While acknowledging its limitations, the paper lays the groundwork for future innovation in LLM architectures, emphasizing the importance of clear distinctions between system-level commands and user da</w:t>
      </w:r>
      <w:r>
        <w:rPr>
          <w:rFonts w:ascii="Times New Roman" w:hAnsi="Times New Roman" w:eastAsia="Times New Roman" w:cs="Times New Roman"/>
          <w:color w:val="000000"/>
          <w:sz w:val="24"/>
        </w:rPr>
        <w:t xml:space="preserve">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proposed techniques represent a meaningful stride in securing generative AI systems, offering a practical defense today while paving the way for more sophisticated, structural solutions tomorrow.</w:t>
      </w:r>
      <w:r/>
      <w: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2024-12-05T07:58:57Z</dcterms:modified>
</cp:coreProperties>
</file>