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Security Automation Platform</w:t>
      </w:r>
    </w:p>
    <w:p>
      <w:pPr>
        <w:jc w:val="center"/>
      </w:pPr>
      <w:r>
        <w:t>Comprehensive Capstone Project Report</w:t>
        <w:br/>
        <w:t>Advanced AI, Automation &amp; Security Engineering Track</w:t>
        <w:br/>
      </w:r>
    </w:p>
    <w:p>
      <w:pPr>
        <w:pStyle w:val="Heading1"/>
      </w:pPr>
      <w:r>
        <w:t>1. Executive Summary</w:t>
      </w:r>
    </w:p>
    <w:p>
      <w:r>
        <w:t>This comprehensive report details the end-to-end design, implementation, and evaluation of the AI Security Automation Platform developed for the Week 10 Final Capstone. The platform integrates threat intelligence, machine learning anomaly detection, SOAR (Security Orchestration, Automation, and Response) orchestration, and real-time visualization into a unified, production-ready system.</w:t>
      </w:r>
    </w:p>
    <w:p>
      <w:pPr>
        <w:pStyle w:val="Heading1"/>
      </w:pPr>
      <w:r>
        <w:t>2. Project Objectives</w:t>
      </w:r>
    </w:p>
    <w:p>
      <w:pPr>
        <w:pStyle w:val="ListBullet"/>
      </w:pPr>
      <w:r>
        <w:t>The primary objectives of this capstone project were to:</w:t>
      </w:r>
    </w:p>
    <w:p>
      <w:pPr>
        <w:pStyle w:val="ListBullet"/>
      </w:pPr>
      <w:r>
        <w:t>Build a modular data ingestion layer capable of normalizing raw security logs.</w:t>
      </w:r>
    </w:p>
    <w:p>
      <w:pPr>
        <w:pStyle w:val="ListBullet"/>
      </w:pPr>
      <w:r>
        <w:t>Enrich incoming log data with threat intelligence risk scores.</w:t>
      </w:r>
    </w:p>
    <w:p>
      <w:pPr>
        <w:pStyle w:val="ListBullet"/>
      </w:pPr>
      <w:r>
        <w:t>Deploy a machine learning model to detect behavioral anomalies in real-time.</w:t>
      </w:r>
    </w:p>
    <w:p>
      <w:pPr>
        <w:pStyle w:val="ListBullet"/>
      </w:pPr>
      <w:r>
        <w:t>Implement a SOAR engine to automatically execute defensive playbooks for high-confidence threats.</w:t>
      </w:r>
    </w:p>
    <w:p>
      <w:pPr>
        <w:pStyle w:val="ListBullet"/>
      </w:pPr>
      <w:r>
        <w:t>Provide analysts with a real-time, interactive security dashboard.</w:t>
      </w:r>
    </w:p>
    <w:p>
      <w:pPr>
        <w:pStyle w:val="Heading1"/>
      </w:pPr>
      <w:r>
        <w:t>3. System Architecture (Deep Dive)</w:t>
      </w:r>
    </w:p>
    <w:p>
      <w:r>
        <w:t>The platform utilizes a highly modular, decoupled microservice architecture where each component operates independently, communicating asynchronously via file-based JSONL message queues. This ensures graceful degradation and ease of testing.</w:t>
      </w:r>
    </w:p>
    <w:p>
      <w:pPr>
        <w:pStyle w:val="Heading2"/>
      </w:pPr>
      <w:r>
        <w:t>3.1 Data Ingestion Layer</w:t>
      </w:r>
    </w:p>
    <w:p>
      <w:r>
        <w:t>Implemented in `ingest_logs.py`, this module simulates streaming log ingestion from network devices. It generates normalized JSON payloads containing source IP, destination domain, byte transfers, and session data, which are then written to the `raw_logs.jsonl` queue.</w:t>
      </w:r>
    </w:p>
    <w:p>
      <w:pPr>
        <w:pStyle w:val="Heading2"/>
      </w:pPr>
      <w:r>
        <w:t>3.2 Threat Intelligence Enrichment</w:t>
      </w:r>
    </w:p>
    <w:p>
      <w:r>
        <w:t>Implemented in `ti_enricher.py`, this module tails the raw logs and queries a mock Threat Intelligence API (simulating AlienVault OTX or AbuseIPDB). It uses MD5 hashing to generate deterministic risk scores for IPs and domains, caches the results for performance, and outputs to `enriched_logs.jsonl`.</w:t>
      </w:r>
    </w:p>
    <w:p>
      <w:pPr>
        <w:pStyle w:val="Heading2"/>
      </w:pPr>
      <w:r>
        <w:t>3.3 Machine Learning Detection</w:t>
      </w:r>
    </w:p>
    <w:p>
      <w:r>
        <w:t>Implemented in `ml_detector.py`, this module applies an Isolation Forest model to detect network anomalies. The model evaluates bytes sent/received, failed logins, and session duration. The ML anomaly score is combined with the TI risk score to produce a final `combined_risk_score`.</w:t>
      </w:r>
    </w:p>
    <w:p>
      <w:pPr>
        <w:pStyle w:val="Heading2"/>
      </w:pPr>
      <w:r>
        <w:t>3.4 SOAR Orchestration</w:t>
      </w:r>
    </w:p>
    <w:p>
      <w:r>
        <w:t>Implemented in `soar_engine.py`, this engine acts on the final alerts. High-confidence alerts (score &gt;= 0.8) trigger automated playbooks (e.g., firewall blocklist automation), while medium-confidence alerts (score &gt;= 0.5) are queued for human-in-the-loop analyst review (e.g., JIRA ticketing).</w:t>
      </w:r>
    </w:p>
    <w:p>
      <w:pPr>
        <w:pStyle w:val="Heading2"/>
      </w:pPr>
      <w:r>
        <w:t>3.5 Visualization Dashboard</w:t>
      </w:r>
    </w:p>
    <w:p>
      <w:r>
        <w:t>Implemented in `dashboard.py` using Streamlit, this frontend provides real-time visibility into the platform's operations. It features live alert feeds, threat intelligence metric counters, and Plotly-based interactive charts.</w:t>
      </w:r>
    </w:p>
    <w:p>
      <w:pPr>
        <w:pStyle w:val="Heading1"/>
      </w:pPr>
      <w:r>
        <w:t>4. Technical Stack &amp; Implementation Details</w:t>
      </w:r>
    </w:p>
    <w:p>
      <w:pPr>
        <w:pStyle w:val="ListBullet"/>
      </w:pPr>
      <w:r>
        <w:t>Language: Python 3</w:t>
      </w:r>
    </w:p>
    <w:p>
      <w:pPr>
        <w:pStyle w:val="ListBullet"/>
      </w:pPr>
      <w:r>
        <w:t>Machine Learning: scikit-learn (Isolation Forest), pandas, joblib</w:t>
      </w:r>
    </w:p>
    <w:p>
      <w:pPr>
        <w:pStyle w:val="ListBullet"/>
      </w:pPr>
      <w:r>
        <w:t>Visualization: Streamlit, Plotly Express</w:t>
      </w:r>
    </w:p>
    <w:p>
      <w:pPr>
        <w:pStyle w:val="ListBullet"/>
      </w:pPr>
      <w:r>
        <w:t>Configuration &amp; Data: YAML (config.yaml), JSONL (mock message queues)</w:t>
      </w:r>
    </w:p>
    <w:p>
      <w:pPr>
        <w:pStyle w:val="Heading1"/>
      </w:pPr>
      <w:r>
        <w:t>5. Engineering Review &amp; Reflection</w:t>
      </w:r>
    </w:p>
    <w:p>
      <w:r>
        <w:rPr>
          <w:b/>
        </w:rPr>
        <w:t>What worked well:</w:t>
      </w:r>
    </w:p>
    <w:p>
      <w:r>
        <w:t>Decoupling the modules using intermediate queues allowed each component to be developed and tested independently. The Streamlit dashboard seamlessly integrated by simply reading the final alerts queue.</w:t>
      </w:r>
    </w:p>
    <w:p>
      <w:r>
        <w:rPr>
          <w:b/>
        </w:rPr>
        <w:t>What would you do differently:</w:t>
      </w:r>
    </w:p>
    <w:p>
      <w:r>
        <w:t>For a true production environment, I would replace the file-based queues with Apache Kafka or RabbitMQ, and utilize Docker Compose to orchestrate the services.</w:t>
      </w:r>
    </w:p>
    <w:p>
      <w:r>
        <w:rPr>
          <w:b/>
        </w:rPr>
        <w:t>Performance &amp; Scalability:</w:t>
      </w:r>
    </w:p>
    <w:p>
      <w:r>
        <w:t>The platform processes events sub-millisecond per log due to the lightweight mock API and efficient Isolation Forest model. To scale 10x, deploying Kubernetes pods for horizontal scaling of the ML and TI workers would be required.</w:t>
      </w:r>
    </w:p>
    <w:p>
      <w:r>
        <w:rPr>
          <w:b/>
        </w:rPr>
        <w:t>Security Vulnerabilities:</w:t>
      </w:r>
    </w:p>
    <w:p>
      <w:r>
        <w:t>Current vulnerabilities include lack of dashboard authentication, on-disk plaintext JSONL queues susceptible to tampering, and the need for a secure secrets manager (e.g., AWS Secrets Manager) for real TI API keys.</w:t>
      </w:r>
    </w:p>
    <w:p>
      <w:pPr>
        <w:pStyle w:val="Heading1"/>
      </w:pPr>
      <w:r>
        <w:t>6. Demo Screenshots</w:t>
      </w:r>
    </w:p>
    <w:p>
      <w:r>
        <w:t>Figure: p1.PNG</w:t>
      </w:r>
    </w:p>
    <w:p>
      <w:r>
        <w:drawing>
          <wp:inline xmlns:a="http://schemas.openxmlformats.org/drawingml/2006/main" xmlns:pic="http://schemas.openxmlformats.org/drawingml/2006/picture">
            <wp:extent cx="5486400" cy="2626724"/>
            <wp:docPr id="1" name="Picture 1"/>
            <wp:cNvGraphicFramePr>
              <a:graphicFrameLocks noChangeAspect="1"/>
            </wp:cNvGraphicFramePr>
            <a:graphic>
              <a:graphicData uri="http://schemas.openxmlformats.org/drawingml/2006/picture">
                <pic:pic>
                  <pic:nvPicPr>
                    <pic:cNvPr id="0" name="p1.PNG"/>
                    <pic:cNvPicPr/>
                  </pic:nvPicPr>
                  <pic:blipFill>
                    <a:blip r:embed="rId9"/>
                    <a:stretch>
                      <a:fillRect/>
                    </a:stretch>
                  </pic:blipFill>
                  <pic:spPr>
                    <a:xfrm>
                      <a:off x="0" y="0"/>
                      <a:ext cx="5486400" cy="2626724"/>
                    </a:xfrm>
                    <a:prstGeom prst="rect"/>
                  </pic:spPr>
                </pic:pic>
              </a:graphicData>
            </a:graphic>
          </wp:inline>
        </w:drawing>
      </w:r>
    </w:p>
    <w:p>
      <w:r>
        <w:t>Figure: p2.PNG</w:t>
      </w:r>
    </w:p>
    <w:p>
      <w:r>
        <w:drawing>
          <wp:inline xmlns:a="http://schemas.openxmlformats.org/drawingml/2006/main" xmlns:pic="http://schemas.openxmlformats.org/drawingml/2006/picture">
            <wp:extent cx="5486400" cy="2626724"/>
            <wp:docPr id="2" name="Picture 2"/>
            <wp:cNvGraphicFramePr>
              <a:graphicFrameLocks noChangeAspect="1"/>
            </wp:cNvGraphicFramePr>
            <a:graphic>
              <a:graphicData uri="http://schemas.openxmlformats.org/drawingml/2006/picture">
                <pic:pic>
                  <pic:nvPicPr>
                    <pic:cNvPr id="0" name="p2.PNG"/>
                    <pic:cNvPicPr/>
                  </pic:nvPicPr>
                  <pic:blipFill>
                    <a:blip r:embed="rId10"/>
                    <a:stretch>
                      <a:fillRect/>
                    </a:stretch>
                  </pic:blipFill>
                  <pic:spPr>
                    <a:xfrm>
                      <a:off x="0" y="0"/>
                      <a:ext cx="5486400" cy="2626724"/>
                    </a:xfrm>
                    <a:prstGeom prst="rect"/>
                  </pic:spPr>
                </pic:pic>
              </a:graphicData>
            </a:graphic>
          </wp:inline>
        </w:drawing>
      </w:r>
    </w:p>
    <w:p>
      <w:r>
        <w:t>Figure: p3.PNG</w:t>
      </w:r>
    </w:p>
    <w:p>
      <w:r>
        <w:drawing>
          <wp:inline xmlns:a="http://schemas.openxmlformats.org/drawingml/2006/main" xmlns:pic="http://schemas.openxmlformats.org/drawingml/2006/picture">
            <wp:extent cx="5486400" cy="2462052"/>
            <wp:docPr id="3" name="Picture 3"/>
            <wp:cNvGraphicFramePr>
              <a:graphicFrameLocks noChangeAspect="1"/>
            </wp:cNvGraphicFramePr>
            <a:graphic>
              <a:graphicData uri="http://schemas.openxmlformats.org/drawingml/2006/picture">
                <pic:pic>
                  <pic:nvPicPr>
                    <pic:cNvPr id="0" name="p3.PNG"/>
                    <pic:cNvPicPr/>
                  </pic:nvPicPr>
                  <pic:blipFill>
                    <a:blip r:embed="rId11"/>
                    <a:stretch>
                      <a:fillRect/>
                    </a:stretch>
                  </pic:blipFill>
                  <pic:spPr>
                    <a:xfrm>
                      <a:off x="0" y="0"/>
                      <a:ext cx="5486400" cy="2462052"/>
                    </a:xfrm>
                    <a:prstGeom prst="rect"/>
                  </pic:spPr>
                </pic:pic>
              </a:graphicData>
            </a:graphic>
          </wp:inline>
        </w:drawing>
      </w:r>
    </w:p>
    <w:p>
      <w:r>
        <w:t>Figure: p4.PNG</w:t>
      </w:r>
    </w:p>
    <w:p>
      <w:r>
        <w:drawing>
          <wp:inline xmlns:a="http://schemas.openxmlformats.org/drawingml/2006/main" xmlns:pic="http://schemas.openxmlformats.org/drawingml/2006/picture">
            <wp:extent cx="5486400" cy="4687001"/>
            <wp:docPr id="4" name="Picture 4"/>
            <wp:cNvGraphicFramePr>
              <a:graphicFrameLocks noChangeAspect="1"/>
            </wp:cNvGraphicFramePr>
            <a:graphic>
              <a:graphicData uri="http://schemas.openxmlformats.org/drawingml/2006/picture">
                <pic:pic>
                  <pic:nvPicPr>
                    <pic:cNvPr id="0" name="p4.PNG"/>
                    <pic:cNvPicPr/>
                  </pic:nvPicPr>
                  <pic:blipFill>
                    <a:blip r:embed="rId12"/>
                    <a:stretch>
                      <a:fillRect/>
                    </a:stretch>
                  </pic:blipFill>
                  <pic:spPr>
                    <a:xfrm>
                      <a:off x="0" y="0"/>
                      <a:ext cx="5486400" cy="468700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