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4"/>
          <w:szCs w:val="44"/>
        </w:rPr>
        <w:t xml:space="preserve">Penetration Testing Report</w:t>
      </w:r>
    </w:p>
    <w:p>
      <w:pPr>
        <w:spacing w:after="40"/>
      </w:pPr>
      <w:r>
        <w:rPr>
          <w:color w:val="444444"/>
          <w:sz w:val="26"/>
          <w:szCs w:val="26"/>
        </w:rPr>
        <w:t xml:space="preserve">Mediroza General Hospital — medirozahospital.com</w:t>
      </w:r>
    </w:p>
    <w:p>
      <w:pPr>
        <w:spacing w:after="300"/>
      </w:pPr>
      <w:r>
        <w:rPr>
          <w:i/>
          <w:iCs/>
          <w:color w:val="666666"/>
          <w:sz w:val="20"/>
          <w:szCs w:val="20"/>
        </w:rPr>
        <w:t xml:space="preserve">Networkwalks Internship Program — Batch B083, Week 4</w:t>
      </w:r>
    </w:p>
    <w:p>
      <w:pPr>
        <w:pBdr>
          <w:bottom w:val="single" w:color="999999" w:sz="6" w:space="1"/>
        </w:pBdr>
        <w:spacing w:after="200"/>
      </w:pPr>
    </w:p>
    <w:p>
      <w:pPr>
        <w:pStyle w:val="Heading1"/>
        <w:spacing w:after="150" w:before="300"/>
      </w:pPr>
      <w:r>
        <w:t xml:space="preserve">1. Executive Summary</w:t>
      </w:r>
    </w:p>
    <w:p>
      <w:pPr>
        <w:spacing w:after="120"/>
      </w:pPr>
      <w:r>
        <w:t xml:space="preserve">This report documents the status of a black-box penetration testing engagement against medirozahospital.com, conducted as part of a supervised internship training exercise under written authorization from the client, as outlined in the project scope document (Batch B083, Week 4).</w:t>
      </w:r>
    </w:p>
    <w:p>
      <w:pPr>
        <w:spacing w:after="120"/>
      </w:pPr>
      <w:r>
        <w:t xml:space="preserve">As of this draft, the engagement is in the reconnaissance and initial-access phase. Passive and active reconnaissance (WHOIS, DNS, HTTP fingerprinting, port scanning, and directory enumeration) has been completed. A directory brute-force scan surfaced a large number of HTTP 200 responses; however, analysis of response sizes indicates the target application returns a generic page for most or all requested paths (a "soft-404" pattern), meaning these results require manual verification before they can be treated as confirmed findings.</w:t>
      </w:r>
    </w:p>
    <w:p>
      <w:pPr>
        <w:spacing w:after="120"/>
      </w:pPr>
      <w:r>
        <w:rPr>
          <w:b/>
          <w:bCs/>
        </w:rPr>
        <w:t xml:space="preserve">The three files currently downloaded locally as report1.pdf, report2.pdf, and report3.pdf were retrieved from a placeholder path rather than a path confirmed to host real patient data, and their content type (text/html) does not match a genuine PDF. They should not be treated as the Milestone 1 deliverable until their content is verified and a genuine, authorized path to the patient lab reports is identified.</w:t>
      </w:r>
    </w:p>
    <w:p>
      <w:pPr>
        <w:spacing w:after="120"/>
      </w:pPr>
      <w:r>
        <w:t xml:space="preserve">No encryption-cracking (Milestone 2) or confidential data exposure analysis (Milestone 3 — staff salaries, shareholder details) has been performed yet, as these depend on first obtaining verified, genuine target files.</w:t>
      </w:r>
    </w:p>
    <w:p>
      <w:pPr>
        <w:spacing w:after="120"/>
      </w:pPr>
      <w:r>
        <w:t xml:space="preserve">Overall risk to the client cannot yet be rated with confidence; the only concrete observation to date is that the application does not appear to return standard HTTP 404 responses for invalid paths, which is a minor information-handling weakness worth noting but not a confirmed data-exposure vulnerability.</w:t>
      </w:r>
    </w:p>
    <w:p>
      <w:pPr>
        <w:pStyle w:val="Heading1"/>
        <w:spacing w:after="150" w:before="300"/>
      </w:pPr>
      <w:r>
        <w:t xml:space="preserve">2. Scope and Methodology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EAF1F8" w:val="clear"/>
          </w:tcPr>
          <w:p>
            <w:r>
              <w:rPr>
                <w:b/>
                <w:bCs/>
              </w:rPr>
              <w:t xml:space="preserve">Client</w:t>
            </w:r>
          </w:p>
        </w:tc>
        <w:tc>
          <w:tcPr>
            <w:tcW w:type="dxa" w:w="6850"/>
          </w:tcPr>
          <w:p>
            <w:r>
              <w:rPr>
                <w:b w:val="false"/>
                <w:bCs w:val="false"/>
              </w:rPr>
              <w:t xml:space="preserve">Mediroza General Hospital</w:t>
            </w:r>
          </w:p>
        </w:tc>
      </w:tr>
      <w:tr>
        <w:tc>
          <w:tcPr>
            <w:tcW w:type="dxa" w:w="2500"/>
            <w:shd w:fill="EAF1F8" w:val="clear"/>
          </w:tcPr>
          <w:p>
            <w:r>
              <w:rPr>
                <w:b/>
                <w:bCs/>
              </w:rPr>
              <w:t xml:space="preserve">Target</w:t>
            </w:r>
          </w:p>
        </w:tc>
        <w:tc>
          <w:tcPr>
            <w:tcW w:type="dxa" w:w="6850"/>
          </w:tcPr>
          <w:p>
            <w:r>
              <w:rPr>
                <w:b w:val="false"/>
                <w:bCs w:val="false"/>
              </w:rPr>
              <w:t xml:space="preserve">https://medirozahospital.com</w:t>
            </w:r>
          </w:p>
        </w:tc>
      </w:tr>
      <w:tr>
        <w:tc>
          <w:tcPr>
            <w:tcW w:type="dxa" w:w="2500"/>
            <w:shd w:fill="EAF1F8" w:val="clear"/>
          </w:tcPr>
          <w:p>
            <w:r>
              <w:rPr>
                <w:b/>
                <w:bCs/>
              </w:rPr>
              <w:t xml:space="preserve">Engagement type</w:t>
            </w:r>
          </w:p>
        </w:tc>
        <w:tc>
          <w:tcPr>
            <w:tcW w:type="dxa" w:w="6850"/>
          </w:tcPr>
          <w:p>
            <w:r>
              <w:rPr>
                <w:b w:val="false"/>
                <w:bCs w:val="false"/>
              </w:rPr>
              <w:t xml:space="preserve">Full black-box penetration test</w:t>
            </w:r>
          </w:p>
        </w:tc>
      </w:tr>
      <w:tr>
        <w:tc>
          <w:tcPr>
            <w:tcW w:type="dxa" w:w="2500"/>
            <w:shd w:fill="EAF1F8" w:val="clear"/>
          </w:tcPr>
          <w:p>
            <w:r>
              <w:rPr>
                <w:b/>
                <w:bCs/>
              </w:rPr>
              <w:t xml:space="preserve">Authorization</w:t>
            </w:r>
          </w:p>
        </w:tc>
        <w:tc>
          <w:tcPr>
            <w:tcW w:type="dxa" w:w="6850"/>
          </w:tcPr>
          <w:p>
            <w:r>
              <w:rPr>
                <w:b w:val="false"/>
                <w:bCs w:val="false"/>
              </w:rPr>
              <w:t xml:space="preserve">Written authorization granted by client (per project scope document)</w:t>
            </w:r>
          </w:p>
        </w:tc>
      </w:tr>
      <w:tr>
        <w:tc>
          <w:tcPr>
            <w:tcW w:type="dxa" w:w="2500"/>
            <w:shd w:fill="EAF1F8" w:val="clear"/>
          </w:tcPr>
          <w:p>
            <w:r>
              <w:rPr>
                <w:b/>
                <w:bCs/>
              </w:rPr>
              <w:t xml:space="preserve">Rules of engagement</w:t>
            </w:r>
          </w:p>
        </w:tc>
        <w:tc>
          <w:tcPr>
            <w:tcW w:type="dxa" w:w="6850"/>
          </w:tcPr>
          <w:p>
            <w:r>
              <w:rPr>
                <w:b w:val="false"/>
                <w:bCs w:val="false"/>
              </w:rPr>
              <w:t xml:space="preserve">Testing limited to target domain only. No social engineering. No denial of service. No testing outside agreed scope.</w:t>
            </w:r>
          </w:p>
        </w:tc>
      </w:tr>
      <w:tr>
        <w:tc>
          <w:tcPr>
            <w:tcW w:type="dxa" w:w="2500"/>
            <w:shd w:fill="EAF1F8" w:val="clear"/>
          </w:tcPr>
          <w:p>
            <w:r>
              <w:rPr>
                <w:b/>
                <w:bCs/>
              </w:rPr>
              <w:t xml:space="preserve">Testing window</w:t>
            </w:r>
          </w:p>
        </w:tc>
        <w:tc>
          <w:tcPr>
            <w:tcW w:type="dxa" w:w="6850"/>
          </w:tcPr>
          <w:p>
            <w:r>
              <w:rPr>
                <w:b w:val="false"/>
                <w:bCs w:val="false"/>
              </w:rPr>
              <w:t xml:space="preserve">5 days (Week 4, Batch B083)</w:t>
            </w:r>
          </w:p>
        </w:tc>
      </w:tr>
    </w:tbl>
    <w:p>
      <w:pPr>
        <w:spacing w:after="160"/>
      </w:pPr>
    </w:p>
    <w:p>
      <w:pPr>
        <w:pStyle w:val="Heading2"/>
        <w:spacing w:after="120" w:before="240"/>
      </w:pPr>
      <w:r>
        <w:t xml:space="preserve">2.1 Tools Used</w:t>
      </w:r>
    </w:p>
    <w:p>
      <w:pPr>
        <w:pStyle w:val="ListParagraph"/>
        <w:numPr>
          <w:ilvl w:val="0"/>
          <w:numId w:val="1"/>
        </w:numPr>
        <w:spacing w:after="60"/>
      </w:pPr>
      <w:r>
        <w:t xml:space="preserve">whois — domain registration and registrar information</w:t>
      </w:r>
    </w:p>
    <w:p>
      <w:pPr>
        <w:pStyle w:val="ListParagraph"/>
        <w:numPr>
          <w:ilvl w:val="0"/>
          <w:numId w:val="1"/>
        </w:numPr>
        <w:spacing w:after="60"/>
      </w:pPr>
      <w:r>
        <w:t xml:space="preserve">dig / host — DNS record enumeration (A, MX, CNAME)</w:t>
      </w:r>
    </w:p>
    <w:p>
      <w:pPr>
        <w:pStyle w:val="ListParagraph"/>
        <w:numPr>
          <w:ilvl w:val="0"/>
          <w:numId w:val="1"/>
        </w:numPr>
        <w:spacing w:after="60"/>
      </w:pPr>
      <w:r>
        <w:t xml:space="preserve">curl — HTTP header and response inspection</w:t>
      </w:r>
    </w:p>
    <w:p>
      <w:pPr>
        <w:pStyle w:val="ListParagraph"/>
        <w:numPr>
          <w:ilvl w:val="0"/>
          <w:numId w:val="1"/>
        </w:numPr>
        <w:spacing w:after="60"/>
      </w:pPr>
      <w:r>
        <w:t xml:space="preserve">whatweb — web technology fingerprinting</w:t>
      </w:r>
    </w:p>
    <w:p>
      <w:pPr>
        <w:pStyle w:val="ListParagraph"/>
        <w:numPr>
          <w:ilvl w:val="0"/>
          <w:numId w:val="1"/>
        </w:numPr>
        <w:spacing w:after="60"/>
      </w:pPr>
      <w:r>
        <w:t xml:space="preserve">nmap — port scanning and service/version detection with HTTP NSE scripts</w:t>
      </w:r>
    </w:p>
    <w:p>
      <w:pPr>
        <w:pStyle w:val="ListParagraph"/>
        <w:numPr>
          <w:ilvl w:val="0"/>
          <w:numId w:val="1"/>
        </w:numPr>
        <w:spacing w:after="60"/>
      </w:pPr>
      <w:r>
        <w:t xml:space="preserve">gobuster — directory and file brute-forcing (SecLists/dirb common.txt wordlist, extensions: php, html, txt, pdf)</w:t>
      </w:r>
    </w:p>
    <w:p>
      <w:pPr>
        <w:pStyle w:val="ListParagraph"/>
        <w:numPr>
          <w:ilvl w:val="0"/>
          <w:numId w:val="1"/>
        </w:numPr>
        <w:spacing w:after="60"/>
      </w:pPr>
      <w:r>
        <w:t xml:space="preserve">wget / curl — candidate file retrieval</w:t>
      </w:r>
    </w:p>
    <w:p>
      <w:pPr>
        <w:pStyle w:val="ListParagraph"/>
        <w:numPr>
          <w:ilvl w:val="0"/>
          <w:numId w:val="1"/>
        </w:numPr>
        <w:spacing w:after="60"/>
      </w:pPr>
      <w:r>
        <w:t xml:space="preserve">pdfinfo / exiftool — intended for file metadata analysis (tooling issues encountered, see Section 3)</w:t>
      </w:r>
    </w:p>
    <w:p>
      <w:pPr>
        <w:pStyle w:val="Heading2"/>
        <w:spacing w:after="120" w:before="240"/>
      </w:pPr>
      <w:r>
        <w:t xml:space="preserve">2.2 Approach</w:t>
      </w:r>
    </w:p>
    <w:p>
      <w:pPr>
        <w:spacing w:after="120"/>
      </w:pPr>
      <w:r>
        <w:t xml:space="preserve">Testing followed a standard black-box methodology: passive reconnaissance first (WHOIS, DNS), followed by active service enumeration (port scan, header/technology fingerprinting), followed by content discovery (directory brute-force) to identify entry points, with the goal of locating and retrieving the three confidential patient lab report PDFs referenced in the engagement scope (Milestone 1).</w:t>
      </w:r>
    </w:p>
    <w:p>
      <w:pPr>
        <w:pStyle w:val="Heading2"/>
        <w:spacing w:after="120" w:before="240"/>
      </w:pPr>
      <w:r>
        <w:t xml:space="preserve">2.3 Limitations Encountered</w:t>
      </w:r>
    </w:p>
    <w:p>
      <w:pPr>
        <w:pStyle w:val="ListParagraph"/>
        <w:numPr>
          <w:ilvl w:val="0"/>
          <w:numId w:val="1"/>
        </w:numPr>
        <w:spacing w:after="60"/>
      </w:pPr>
      <w:r>
        <w:t xml:space="preserve">The target returns HTTP 200 for the large majority of brute-forced paths at a near-constant response size, which defeats straightforward gobuster-based content discovery and requires follow-up filtering (e.g. by response size/hash, or switching tools/wordlists) to separate real content from the catch-all response.</w:t>
      </w:r>
    </w:p>
    <w:p>
      <w:pPr>
        <w:pStyle w:val="ListParagraph"/>
        <w:numPr>
          <w:ilvl w:val="0"/>
          <w:numId w:val="1"/>
        </w:numPr>
        <w:spacing w:after="60"/>
      </w:pPr>
      <w:r>
        <w:t xml:space="preserve">Local package repository errors (404s against poppler-utils dependencies) prevented installation of pdfinfo for file analysis.</w:t>
      </w:r>
    </w:p>
    <w:p>
      <w:pPr>
        <w:pStyle w:val="ListParagraph"/>
        <w:numPr>
          <w:ilvl w:val="0"/>
          <w:numId w:val="1"/>
        </w:numPr>
        <w:spacing w:after="60"/>
      </w:pPr>
      <w:r>
        <w:t xml:space="preserve">A tooling/path inconsistency (exiftool run against pdfs/ while files were saved to pdf/) meant file metadata could not be reviewed yet.</w:t>
      </w:r>
    </w:p>
    <w:p>
      <w:pPr>
        <w:pStyle w:val="Heading1"/>
        <w:spacing w:after="150" w:before="300"/>
      </w:pPr>
      <w:r>
        <w:t xml:space="preserve">3. Findings and Current Status</w:t>
      </w:r>
    </w:p>
    <w:p>
      <w:pPr>
        <w:spacing w:after="120"/>
      </w:pPr>
      <w:r>
        <w:t xml:space="preserve">The table below summarizes what has been concretely observed so far. Items marked “Needs verification” or “Unverified” are explicitly not yet confirmed findings and should not be presented as completed milestone deliverables.</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650"/>
        <w:gridCol w:w="2500"/>
      </w:tblGrid>
      <w:tr>
        <w:tc>
          <w:tcPr>
            <w:tcW w:type="dxa" w:w="2200"/>
            <w:shd w:fill="1F3864" w:val="clear"/>
          </w:tcPr>
          <w:p>
            <w:r>
              <w:rPr>
                <w:b/>
                <w:bCs/>
              </w:rPr>
              <w:t xml:space="preserve">Area</w:t>
            </w:r>
          </w:p>
        </w:tc>
        <w:tc>
          <w:tcPr>
            <w:tcW w:type="dxa" w:w="4650"/>
            <w:shd w:fill="1F3864" w:val="clear"/>
          </w:tcPr>
          <w:p>
            <w:r>
              <w:rPr>
                <w:b/>
                <w:bCs/>
              </w:rPr>
              <w:t xml:space="preserve">Observation</w:t>
            </w:r>
          </w:p>
        </w:tc>
        <w:tc>
          <w:tcPr>
            <w:tcW w:type="dxa" w:w="2500"/>
            <w:shd w:fill="1F3864" w:val="clear"/>
          </w:tcPr>
          <w:p>
            <w:r>
              <w:rPr>
                <w:b/>
                <w:bCs/>
              </w:rPr>
              <w:t xml:space="preserve">Status</w:t>
            </w:r>
          </w:p>
        </w:tc>
      </w:tr>
      <w:tr>
        <w:tc>
          <w:tcPr>
            <w:tcW w:type="dxa" w:w="2200"/>
          </w:tcPr>
          <w:p>
            <w:r>
              <w:rPr>
                <w:b w:val="false"/>
                <w:bCs w:val="false"/>
              </w:rPr>
              <w:t xml:space="preserve">WHOIS / Registrar</w:t>
            </w:r>
          </w:p>
        </w:tc>
        <w:tc>
          <w:tcPr>
            <w:tcW w:type="dxa" w:w="4650"/>
          </w:tcPr>
          <w:p>
            <w:r>
              <w:rPr>
                <w:b w:val="false"/>
                <w:bCs w:val="false"/>
              </w:rPr>
              <w:t xml:space="preserve">Domain registered via NameCheap; WHOIS privacy service active (registrant/admin/tech redacted). Creation date 2026-08-14.</w:t>
            </w:r>
          </w:p>
        </w:tc>
        <w:tc>
          <w:tcPr>
            <w:tcW w:type="dxa" w:w="2500"/>
          </w:tcPr>
          <w:p>
            <w:r>
              <w:rPr>
                <w:b w:val="false"/>
                <w:bCs w:val="false"/>
              </w:rPr>
              <w:t xml:space="preserve">Informational</w:t>
            </w:r>
          </w:p>
        </w:tc>
      </w:tr>
      <w:tr>
        <w:tc>
          <w:tcPr>
            <w:tcW w:type="dxa" w:w="2200"/>
          </w:tcPr>
          <w:p>
            <w:r>
              <w:rPr>
                <w:b w:val="false"/>
                <w:bCs w:val="false"/>
              </w:rPr>
              <w:t xml:space="preserve">DNS records</w:t>
            </w:r>
          </w:p>
        </w:tc>
        <w:tc>
          <w:tcPr>
            <w:tcW w:type="dxa" w:w="4650"/>
          </w:tcPr>
          <w:p>
            <w:r>
              <w:rPr>
                <w:b w:val="false"/>
                <w:bCs w:val="false"/>
              </w:rPr>
              <w:t xml:space="preserve">A record resolves to 199.188.201.16. MX records point to mx1-3-hosting.jellyfish.systems (priorities 5/10/20). www is a CNAME to apex.</w:t>
            </w:r>
          </w:p>
        </w:tc>
        <w:tc>
          <w:tcPr>
            <w:tcW w:type="dxa" w:w="2500"/>
          </w:tcPr>
          <w:p>
            <w:r>
              <w:rPr>
                <w:b w:val="false"/>
                <w:bCs w:val="false"/>
              </w:rPr>
              <w:t xml:space="preserve">Informational</w:t>
            </w:r>
          </w:p>
        </w:tc>
      </w:tr>
      <w:tr>
        <w:tc>
          <w:tcPr>
            <w:tcW w:type="dxa" w:w="2200"/>
          </w:tcPr>
          <w:p>
            <w:r>
              <w:rPr>
                <w:b w:val="false"/>
                <w:bCs w:val="false"/>
              </w:rPr>
              <w:t xml:space="preserve">Web server fingerprint</w:t>
            </w:r>
          </w:p>
        </w:tc>
        <w:tc>
          <w:tcPr>
            <w:tcW w:type="dxa" w:w="4650"/>
          </w:tcPr>
          <w:p>
            <w:r>
              <w:rPr>
                <w:b w:val="false"/>
                <w:bCs w:val="false"/>
              </w:rPr>
              <w:t xml:space="preserve">whatweb/curl headers identify LiteSpeed web server behind an HAProxy load balancer (HAProxy http proxy 2.0+). PoweredBy header confirms LiteSpeed.</w:t>
            </w:r>
          </w:p>
        </w:tc>
        <w:tc>
          <w:tcPr>
            <w:tcW w:type="dxa" w:w="2500"/>
          </w:tcPr>
          <w:p>
            <w:r>
              <w:rPr>
                <w:b w:val="false"/>
                <w:bCs w:val="false"/>
              </w:rPr>
              <w:t xml:space="preserve">Informational</w:t>
            </w:r>
          </w:p>
        </w:tc>
      </w:tr>
      <w:tr>
        <w:tc>
          <w:tcPr>
            <w:tcW w:type="dxa" w:w="2200"/>
          </w:tcPr>
          <w:p>
            <w:r>
              <w:rPr>
                <w:b w:val="false"/>
                <w:bCs w:val="false"/>
              </w:rPr>
              <w:t xml:space="preserve">Port scan (nmap)</w:t>
            </w:r>
          </w:p>
        </w:tc>
        <w:tc>
          <w:tcPr>
            <w:tcW w:type="dxa" w:w="4650"/>
          </w:tcPr>
          <w:p>
            <w:r>
              <w:rPr>
                <w:b w:val="false"/>
                <w:bCs w:val="false"/>
              </w:rPr>
              <w:t xml:space="preserve">Only ports 80/tcp and 443/tcp open. Port 80 redirects to HTTPS. Port 443 returns HTTP 403 Forbidden at document root.</w:t>
            </w:r>
          </w:p>
        </w:tc>
        <w:tc>
          <w:tcPr>
            <w:tcW w:type="dxa" w:w="2500"/>
          </w:tcPr>
          <w:p>
            <w:r>
              <w:rPr>
                <w:b w:val="false"/>
                <w:bCs w:val="false"/>
              </w:rPr>
              <w:t xml:space="preserve">Informational</w:t>
            </w:r>
          </w:p>
        </w:tc>
      </w:tr>
      <w:tr>
        <w:tc>
          <w:tcPr>
            <w:tcW w:type="dxa" w:w="2200"/>
          </w:tcPr>
          <w:p>
            <w:r>
              <w:rPr>
                <w:b w:val="false"/>
                <w:bCs w:val="false"/>
              </w:rPr>
              <w:t xml:space="preserve">Directory brute-force (gobuster)</w:t>
            </w:r>
          </w:p>
        </w:tc>
        <w:tc>
          <w:tcPr>
            <w:tcW w:type="dxa" w:w="4650"/>
          </w:tcPr>
          <w:p>
            <w:r>
              <w:rPr>
                <w:b w:val="false"/>
                <w:bCs w:val="false"/>
              </w:rPr>
              <w:t xml:space="preserve">23,065-word scan against common.txt (ext: php,html,txt,pdf) returned HTTP 200 for the overwhelming majority of entries, including random/nonexistent words (e.g. zoom.php, theme.txt), all at a near-identical response size (~12,000-12,280 bytes). This pattern indicates a soft-404 / catch-all response rather than genuine files, and the scan results cannot be treated as a confirmed list of real resources without manual verification.</w:t>
            </w:r>
          </w:p>
        </w:tc>
        <w:tc>
          <w:tcPr>
            <w:tcW w:type="dxa" w:w="2500"/>
          </w:tcPr>
          <w:p>
            <w:r>
              <w:rPr>
                <w:b w:val="false"/>
                <w:bCs w:val="false"/>
              </w:rPr>
              <w:t xml:space="preserve">Needs verification</w:t>
            </w:r>
          </w:p>
        </w:tc>
      </w:tr>
      <w:tr>
        <w:tc>
          <w:tcPr>
            <w:tcW w:type="dxa" w:w="2200"/>
          </w:tcPr>
          <w:p>
            <w:r>
              <w:rPr>
                <w:b w:val="false"/>
                <w:bCs w:val="false"/>
              </w:rPr>
              <w:t xml:space="preserve">Candidate patient report files</w:t>
            </w:r>
          </w:p>
        </w:tc>
        <w:tc>
          <w:tcPr>
            <w:tcW w:type="dxa" w:w="4650"/>
          </w:tcPr>
          <w:p>
            <w:r>
              <w:rPr>
                <w:b w:val="false"/>
                <w:bCs w:val="false"/>
              </w:rPr>
              <w:t xml:space="preserve">wget requests to a placeholder path (literal "FOUND/PATH" was not replaced with a real discovered path) returned HTTP 200 with Content-Type: text/html at sizes matching the soft-404 pattern above, not application/pdf. The three files currently saved as report1.pdf, report2.pdf and report3.pdf have not yet been confirmed as real PDF documents.</w:t>
            </w:r>
          </w:p>
        </w:tc>
        <w:tc>
          <w:tcPr>
            <w:tcW w:type="dxa" w:w="2500"/>
          </w:tcPr>
          <w:p>
            <w:r>
              <w:rPr>
                <w:b w:val="false"/>
                <w:bCs w:val="false"/>
              </w:rPr>
              <w:t xml:space="preserve">Unverified / likely false positive</w:t>
            </w:r>
          </w:p>
        </w:tc>
      </w:tr>
      <w:tr>
        <w:tc>
          <w:tcPr>
            <w:tcW w:type="dxa" w:w="2200"/>
          </w:tcPr>
          <w:p>
            <w:r>
              <w:rPr>
                <w:b w:val="false"/>
                <w:bCs w:val="false"/>
              </w:rPr>
              <w:t xml:space="preserve">Local tooling</w:t>
            </w:r>
          </w:p>
        </w:tc>
        <w:tc>
          <w:tcPr>
            <w:tcW w:type="dxa" w:w="4650"/>
          </w:tcPr>
          <w:p>
            <w:r>
              <w:rPr>
                <w:b w:val="false"/>
                <w:bCs w:val="false"/>
              </w:rPr>
              <w:t xml:space="preserve">pdfinfo was unavailable and package installation failed (repository 404s on poppler-utils dependencies). exiftool was run against the wrong local path (pdfs/ vs the pdf/ directory actually used) and could not locate the files.</w:t>
            </w:r>
          </w:p>
        </w:tc>
        <w:tc>
          <w:tcPr>
            <w:tcW w:type="dxa" w:w="2500"/>
          </w:tcPr>
          <w:p>
            <w:r>
              <w:rPr>
                <w:b w:val="false"/>
                <w:bCs w:val="false"/>
              </w:rPr>
              <w:t xml:space="preserve">Tooling issue, not a target finding</w:t>
            </w:r>
          </w:p>
        </w:tc>
      </w:tr>
    </w:tbl>
    <w:p>
      <w:pPr>
        <w:spacing w:after="200"/>
      </w:pPr>
    </w:p>
    <w:p>
      <w:pPr>
        <w:pStyle w:val="Heading2"/>
        <w:spacing w:after="120" w:before="240"/>
      </w:pPr>
      <w:r>
        <w:t xml:space="preserve">3.1 Milestone Status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EAF1F8" w:val="clear"/>
          </w:tcPr>
          <w:p>
            <w:r>
              <w:rPr>
                <w:b/>
                <w:bCs/>
              </w:rPr>
              <w:t xml:space="preserve">M1 — Initial Access</w:t>
            </w:r>
          </w:p>
        </w:tc>
        <w:tc>
          <w:tcPr>
            <w:tcW w:type="dxa" w:w="6850"/>
          </w:tcPr>
          <w:p>
            <w:r>
              <w:rPr>
                <w:b w:val="false"/>
                <w:bCs w:val="false"/>
              </w:rPr>
              <w:t xml:space="preserve">In progress. Recon and content discovery completed; the specific vulnerability granting access to patient PDFs, and the PDFs themselves, are not yet confirmed.</w:t>
            </w:r>
          </w:p>
        </w:tc>
      </w:tr>
      <w:tr>
        <w:tc>
          <w:tcPr>
            <w:tcW w:type="dxa" w:w="2500"/>
            <w:shd w:fill="EAF1F8" w:val="clear"/>
          </w:tcPr>
          <w:p>
            <w:r>
              <w:rPr>
                <w:b/>
                <w:bCs/>
              </w:rPr>
              <w:t xml:space="preserve">M2 — Data Extraction</w:t>
            </w:r>
          </w:p>
        </w:tc>
        <w:tc>
          <w:tcPr>
            <w:tcW w:type="dxa" w:w="6850"/>
          </w:tcPr>
          <w:p>
            <w:r>
              <w:rPr>
                <w:b w:val="false"/>
                <w:bCs w:val="false"/>
              </w:rPr>
              <w:t xml:space="preserve">Not started — depends on obtaining genuine files from M1.</w:t>
            </w:r>
          </w:p>
        </w:tc>
      </w:tr>
      <w:tr>
        <w:tc>
          <w:tcPr>
            <w:tcW w:type="dxa" w:w="2500"/>
            <w:shd w:fill="EAF1F8" w:val="clear"/>
          </w:tcPr>
          <w:p>
            <w:r>
              <w:rPr>
                <w:b/>
                <w:bCs/>
              </w:rPr>
              <w:t xml:space="preserve">M3 — Critical Data Exposure</w:t>
            </w:r>
          </w:p>
        </w:tc>
        <w:tc>
          <w:tcPr>
            <w:tcW w:type="dxa" w:w="6850"/>
          </w:tcPr>
          <w:p>
            <w:r>
              <w:rPr>
                <w:b w:val="false"/>
                <w:bCs w:val="false"/>
              </w:rPr>
              <w:t xml:space="preserve">Not started — depends on M1/M2 completion.</w:t>
            </w:r>
          </w:p>
        </w:tc>
      </w:tr>
      <w:tr>
        <w:tc>
          <w:tcPr>
            <w:tcW w:type="dxa" w:w="2500"/>
            <w:shd w:fill="EAF1F8" w:val="clear"/>
          </w:tcPr>
          <w:p>
            <w:r>
              <w:rPr>
                <w:b/>
                <w:bCs/>
              </w:rPr>
              <w:t xml:space="preserve">M4 — Pentest Report</w:t>
            </w:r>
          </w:p>
        </w:tc>
        <w:tc>
          <w:tcPr>
            <w:tcW w:type="dxa" w:w="6850"/>
          </w:tcPr>
          <w:p>
            <w:r>
              <w:rPr>
                <w:b w:val="false"/>
                <w:bCs w:val="false"/>
              </w:rPr>
              <w:t xml:space="preserve">This document; to be completed once M1–M3 produce verified evidence.</w:t>
            </w:r>
          </w:p>
        </w:tc>
      </w:tr>
    </w:tbl>
    <w:p>
      <w:pPr>
        <w:pStyle w:val="Heading1"/>
        <w:spacing w:after="150" w:before="300"/>
      </w:pPr>
      <w:r>
        <w:t xml:space="preserve">4. Risk Rating</w:t>
      </w:r>
    </w:p>
    <w:p>
      <w:pPr>
        <w:spacing w:after="120"/>
      </w:pPr>
      <w:r>
        <w:t xml:space="preserve">A formal risk rating per finding will be completed once Milestones 1–3 produce verified evidence. Preliminarily: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EAF1F8" w:val="clear"/>
          </w:tcPr>
          <w:p>
            <w:r>
              <w:rPr>
                <w:b/>
                <w:bCs/>
              </w:rPr>
              <w:t xml:space="preserve">Non-standard 404 handling</w:t>
            </w:r>
          </w:p>
        </w:tc>
        <w:tc>
          <w:tcPr>
            <w:tcW w:type="dxa" w:w="6850"/>
          </w:tcPr>
          <w:p>
            <w:r>
              <w:rPr>
                <w:b w:val="false"/>
                <w:bCs w:val="false"/>
              </w:rPr>
              <w:t xml:space="preserve">Low / Informational — the application appears to return HTTP 200 with generic content rather than a proper 404 for invalid paths. This complicates automated content discovery and can also mask real resource existence from legitimate monitoring, but is not itself a data-exposure vulnerability.</w:t>
            </w:r>
          </w:p>
        </w:tc>
      </w:tr>
      <w:tr>
        <w:tc>
          <w:tcPr>
            <w:tcW w:type="dxa" w:w="2500"/>
            <w:shd w:fill="EAF1F8" w:val="clear"/>
          </w:tcPr>
          <w:p>
            <w:r>
              <w:rPr>
                <w:b/>
                <w:bCs/>
              </w:rPr>
              <w:t xml:space="preserve">WHOIS privacy / DNS configuration</w:t>
            </w:r>
          </w:p>
        </w:tc>
        <w:tc>
          <w:tcPr>
            <w:tcW w:type="dxa" w:w="6850"/>
          </w:tcPr>
          <w:p>
            <w:r>
              <w:rPr>
                <w:b w:val="false"/>
                <w:bCs w:val="false"/>
              </w:rPr>
              <w:t xml:space="preserve">Informational — standard privacy-protected registration; MX records point to a third-party mail provider (jellyfish.systems). No issues identified.</w:t>
            </w:r>
          </w:p>
        </w:tc>
      </w:tr>
    </w:tbl>
    <w:p>
      <w:pPr>
        <w:pStyle w:val="Heading1"/>
        <w:spacing w:after="150" w:before="300"/>
      </w:pPr>
      <w:r>
        <w:t xml:space="preserve">5. Recommendations and Remediation</w:t>
      </w:r>
    </w:p>
    <w:p>
      <w:pPr>
        <w:pStyle w:val="ListParagraph"/>
        <w:numPr>
          <w:ilvl w:val="0"/>
          <w:numId w:val="1"/>
        </w:numPr>
        <w:spacing w:after="60"/>
      </w:pPr>
      <w:r>
        <w:t xml:space="preserve">Verify and formally retest directory/content discovery using response-size filtering (e.g. gobuster's -fs or ffuf's size/word filters) to distinguish real resources from the soft-404 catch-all page.</w:t>
      </w:r>
    </w:p>
    <w:p>
      <w:pPr>
        <w:pStyle w:val="ListParagraph"/>
        <w:numPr>
          <w:ilvl w:val="0"/>
          <w:numId w:val="1"/>
        </w:numPr>
        <w:spacing w:after="60"/>
      </w:pPr>
      <w:r>
        <w:t xml:space="preserve">Once a verified path to patient report files is found, confirm Content-Type and file signature (magic bytes) before treating any downloaded file as a genuine PDF.</w:t>
      </w:r>
    </w:p>
    <w:p>
      <w:pPr>
        <w:pStyle w:val="ListParagraph"/>
        <w:numPr>
          <w:ilvl w:val="0"/>
          <w:numId w:val="1"/>
        </w:numPr>
        <w:spacing w:after="60"/>
      </w:pPr>
      <w:r>
        <w:t xml:space="preserve">Client-side: configure the web server to return a proper HTTP 404 status for non-existent resources rather than HTTP 200, to support correct caching, monitoring, and security tooling behavior.</w:t>
      </w:r>
    </w:p>
    <w:p>
      <w:pPr>
        <w:pStyle w:val="ListParagraph"/>
        <w:numPr>
          <w:ilvl w:val="0"/>
          <w:numId w:val="1"/>
        </w:numPr>
        <w:spacing w:after="60"/>
      </w:pPr>
      <w:r>
        <w:t xml:space="preserve">Continue testing within the agreed rules of engagement (target domain only, no DoS, no social engineering) for Milestones 2 and 3 once genuine Milestone 1 evidence is secured.</w:t>
      </w:r>
    </w:p>
    <w:p>
      <w:pPr>
        <w:pStyle w:val="Heading1"/>
        <w:spacing w:after="150" w:before="300"/>
      </w:pPr>
      <w:r>
        <w:t xml:space="preserve">6. Evidence Appendix</w:t>
      </w:r>
    </w:p>
    <w:p>
      <w:pPr>
        <w:spacing w:after="120"/>
      </w:pPr>
      <w:r>
        <w:t xml:space="preserve">Supporting screenshots for the reconnaissance and content-discovery steps referenced above are provided as a separate evidence folder alongside this report (see accompanying ZIP archive), numbered in chronological order from WHOIS lookup through the current tooling status.</w:t>
      </w:r>
    </w:p>
    <w:p>
      <w:pPr>
        <w:pBdr>
          <w:bottom w:val="single" w:color="999999" w:sz="6" w:space="1"/>
        </w:pBdr>
        <w:spacing w:after="200"/>
      </w:pPr>
    </w:p>
    <w:p>
      <w:pPr>
        <w:spacing w:after="120"/>
      </w:pPr>
      <w:r>
        <w:rPr>
          <w:i/>
          <w:iCs/>
          <w:color w:val="777777"/>
          <w:sz w:val="18"/>
          <w:szCs w:val="18"/>
        </w:rPr>
        <w:t xml:space="preserve">This report reflects work completed as of the current draft date and will be updated as Milestones 1–4 progress. This engagement is conducted in a controlled training environment under written client authorization; techniques described must never be applied to any system without explicit written permission from the owner.</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2026-10-01T10:50:11.407Z</dcterms:created>
  <dcterms:modified xsi:type="dcterms:W3CDTF">2026-10-01T10:50:11.421Z</dcterms:modified>
</cp:coreProperties>
</file>

<file path=docProps/custom.xml><?xml version="1.0" encoding="utf-8"?>
<Properties xmlns="http://schemas.openxmlformats.org/officeDocument/2006/custom-properties" xmlns:vt="http://schemas.openxmlformats.org/officeDocument/2006/docPropsVTypes"/>
</file>