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r>
        <w:rPr>
          <w:rFonts w:ascii="Inter" w:cs="Inter" w:eastAsia="Inter" w:hAnsi="Inter"/>
          <w:b w:val="false"/>
          <w:bCs w:val="false"/>
          <w:i w:val="false"/>
          <w:iCs w:val="false"/>
          <w:caps w:val="false"/>
          <w:color w:val="16202B"/>
          <w:sz w:val="26"/>
          <w:szCs w:val="26"/>
        </w:rPr>
        <w:t xml:space="preserve"/>
      </w:r>
    </w:p>
    <w:p>
      <w:pPr>
        <w:spacing w:after="400" w:before="0" w:line="288"/>
      </w:pPr>
      <w:r>
        <w:rPr>
          <w:rFonts w:ascii="Inter" w:cs="Inter" w:eastAsia="Inter" w:hAnsi="Inter"/>
          <w:b/>
          <w:bCs/>
          <w:i w:val="false"/>
          <w:iCs w:val="false"/>
          <w:caps w:val="false"/>
          <w:color w:val="53A6E6"/>
          <w:spacing w:val="40"/>
          <w:sz w:val="20"/>
          <w:szCs w:val="20"/>
        </w:rPr>
        <w:t xml:space="preserve">AURATIO  ·  SCORING &amp; LEADERBOARD SYSTEM</w:t>
      </w:r>
    </w:p>
    <w:p>
      <w:pPr>
        <w:spacing w:after="0" w:before="0" w:line="800"/>
      </w:pPr>
      <w:r>
        <w:rPr>
          <w:rFonts w:ascii="Inter" w:cs="Inter" w:eastAsia="Inter" w:hAnsi="Inter"/>
          <w:b/>
          <w:bCs/>
          <w:i w:val="false"/>
          <w:iCs w:val="false"/>
          <w:caps w:val="false"/>
          <w:color w:val="041B3B"/>
          <w:sz w:val="68"/>
          <w:szCs w:val="68"/>
        </w:rPr>
        <w:t xml:space="preserve">Scoring &amp; Leaderboard</w:t>
      </w:r>
    </w:p>
    <w:p>
      <w:pPr>
        <w:spacing w:after="340" w:before="0" w:line="800"/>
      </w:pPr>
      <w:r>
        <w:rPr>
          <w:rFonts w:ascii="Inter" w:cs="Inter" w:eastAsia="Inter" w:hAnsi="Inter"/>
          <w:b/>
          <w:bCs/>
          <w:i w:val="false"/>
          <w:iCs w:val="false"/>
          <w:caps w:val="false"/>
          <w:color w:val="041B3B"/>
          <w:sz w:val="68"/>
          <w:szCs w:val="68"/>
        </w:rPr>
        <w:t xml:space="preserve">System Specification</w:t>
      </w:r>
    </w:p>
    <w:p>
      <w:pPr>
        <w:pBdr>
          <w:bottom w:val="single" w:color="53A6E6" w:sz="12" w:space="8"/>
        </w:pBdr>
        <w:spacing w:after="300"/>
      </w:pPr>
      <w:r>
        <w:rPr>
          <w:rFonts w:ascii="Inter" w:cs="Inter" w:eastAsia="Inter" w:hAnsi="Inter"/>
          <w:b w:val="false"/>
          <w:bCs w:val="false"/>
          <w:i w:val="false"/>
          <w:iCs w:val="false"/>
          <w:caps w:val="false"/>
          <w:color w:val="16202B"/>
          <w:sz w:val="26"/>
          <w:szCs w:val="26"/>
        </w:rPr>
        <w:t xml:space="preserve"/>
      </w:r>
    </w:p>
    <w:p>
      <w:pPr>
        <w:spacing w:after="1600" w:before="0" w:line="320"/>
      </w:pPr>
      <w:r>
        <w:rPr>
          <w:rFonts w:ascii="Inter" w:cs="Inter" w:eastAsia="Inter" w:hAnsi="Inter"/>
          <w:b w:val="false"/>
          <w:bCs w:val="false"/>
          <w:i w:val="false"/>
          <w:iCs w:val="false"/>
          <w:caps w:val="false"/>
          <w:color w:val="0A3D6E"/>
          <w:sz w:val="30"/>
          <w:szCs w:val="30"/>
        </w:rPr>
        <w:t xml:space="preserve">Standardised evaluation framework, sliding-window rating engine, and dual-mode leaderboard structure.</w:t>
      </w:r>
    </w:p>
    <w:p>
      <w:pPr>
        <w:spacing w:after="60" w:before="0" w:line="288"/>
      </w:pPr>
      <w:r>
        <w:t>Version 3.7  ·  Student-MVP AI evaluation simplification; scoring mathematics retained</w:t>
      </w:r>
    </w:p>
    <w:p>
      <w:pPr>
        <w:spacing w:after="60" w:before="0" w:line="288"/>
      </w:pPr>
      <w:r>
        <w:rPr>
          <w:rFonts w:ascii="Inter" w:cs="Inter" w:eastAsia="Inter" w:hAnsi="Inter"/>
          <w:b w:val="false"/>
          <w:bCs w:val="false"/>
          <w:i w:val="false"/>
          <w:iCs w:val="false"/>
          <w:caps w:val="false"/>
          <w:color w:val="4A5A6B"/>
          <w:sz w:val="26"/>
          <w:szCs w:val="26"/>
        </w:rPr>
        <w:t xml:space="preserve">August 2026</w:t>
      </w:r>
    </w:p>
    <w:p>
      <w:pPr>
        <w:spacing w:after="0" w:before="0" w:line="288"/>
      </w:pPr>
      <w:r>
        <w:t>Supersedes Version 3.6 (August 2026)</w:t>
      </w:r>
    </w:p>
    <w:p>
      <w:r>
        <w:br w:type="page"/>
      </w:r>
    </w:p>
    <w:p>
      <w:pPr>
        <w:pStyle w:val="Heading1"/>
      </w:pPr>
      <w:r>
        <w:rPr>
          <w:rFonts w:ascii="Inter" w:cs="Inter" w:eastAsia="Inter" w:hAnsi="Inter"/>
          <w:b/>
          <w:bCs/>
          <w:i w:val="false"/>
          <w:iCs w:val="false"/>
          <w:caps w:val="false"/>
          <w:color w:val="041B3B"/>
          <w:sz w:val="40"/>
          <w:szCs w:val="40"/>
        </w:rPr>
        <w:t xml:space="preserve">Contents</w:t>
      </w:r>
    </w:p>
    <w:p>
      <w:pPr>
        <w:spacing w:after="260" w:before="0" w:line="288"/>
      </w:pPr>
      <w:r>
        <w:t>Version 3.7 supersedes Version 3.6. It retains the complete scoring, leaderboard, Human-moderation, report-generation, duplicate-submission, qualitative-anchor, and Monthly-attribution rules while simplifying only the MVP AI failure path. Gemini is called once per AI evaluation request; Auratio performs basic structured-output validation; a usable result may auto-approve, while an unusable or failed AI evaluation becomes Rejected. Automatic AI retry and AI-failure Pending Moderation are deferred beyond the student MVP.</w:t>
      </w:r>
    </w:p>
    <w:p>
      <w:pPr>
        <w:tabs>
          <w:tab w:val="right" w:pos="9860" w:leader="dot"/>
        </w:tabs>
        <w:spacing w:after="200" w:line="288"/>
      </w:pPr>
      <w:r>
        <w:t>1.   Design Principles</w:t>
        <w:tab/>
        <w:t>3</w:t>
      </w:r>
    </w:p>
    <w:p>
      <w:pPr>
        <w:tabs>
          <w:tab w:val="right" w:pos="9860" w:leader="dot"/>
        </w:tabs>
        <w:spacing w:after="200" w:line="288"/>
      </w:pPr>
      <w:r>
        <w:t>2.   Submission Eligibility and Duration Standards</w:t>
        <w:tab/>
        <w:t>4</w:t>
      </w:r>
    </w:p>
    <w:p>
      <w:pPr>
        <w:tabs>
          <w:tab w:val="right" w:pos="9860" w:leader="dot"/>
        </w:tabs>
        <w:spacing w:after="200" w:line="288"/>
      </w:pPr>
      <w:r>
        <w:t>3.   Submission Scoring Model</w:t>
        <w:tab/>
        <w:t>7</w:t>
      </w:r>
    </w:p>
    <w:p>
      <w:pPr>
        <w:tabs>
          <w:tab w:val="right" w:pos="9860" w:leader="dot"/>
        </w:tabs>
        <w:spacing w:after="200" w:line="288"/>
      </w:pPr>
      <w:r>
        <w:t>4.   Universal Rubric — 60 Points</w:t>
        <w:tab/>
        <w:t>8</w:t>
      </w:r>
    </w:p>
    <w:p>
      <w:pPr>
        <w:tabs>
          <w:tab w:val="right" w:pos="9860" w:leader="dot"/>
        </w:tabs>
        <w:spacing w:after="200" w:line="288"/>
      </w:pPr>
      <w:r>
        <w:t>5.   Track-Specific Rubrics — 40 Points</w:t>
        <w:tab/>
        <w:t>10</w:t>
      </w:r>
    </w:p>
    <w:p>
      <w:pPr>
        <w:tabs>
          <w:tab w:val="right" w:pos="9860" w:leader="dot"/>
        </w:tabs>
        <w:spacing w:after="200" w:line="288"/>
      </w:pPr>
      <w:r>
        <w:t>6.   Dual-Mode Leaderboard Structure</w:t>
        <w:tab/>
        <w:t>12</w:t>
      </w:r>
    </w:p>
    <w:p>
      <w:pPr>
        <w:tabs>
          <w:tab w:val="right" w:pos="9860" w:leader="dot"/>
        </w:tabs>
        <w:spacing w:after="200" w:line="288"/>
      </w:pPr>
      <w:r>
        <w:t>7.   Auratio Leaderboard Rating (ALR)</w:t>
        <w:tab/>
        <w:t>13</w:t>
      </w:r>
    </w:p>
    <w:p>
      <w:pPr>
        <w:tabs>
          <w:tab w:val="right" w:pos="9860" w:leader="dot"/>
        </w:tabs>
        <w:spacing w:after="200" w:line="288"/>
      </w:pPr>
      <w:r>
        <w:t>8.   Eligibility, Seasons, and Ranking Rules</w:t>
        <w:tab/>
        <w:t>17</w:t>
      </w:r>
    </w:p>
    <w:p>
      <w:pPr>
        <w:tabs>
          <w:tab w:val="right" w:pos="9860" w:leader="dot"/>
        </w:tabs>
        <w:spacing w:after="200" w:line="288"/>
      </w:pPr>
      <w:r>
        <w:t>9.   Moderation and Publication Workflow</w:t>
        <w:tab/>
        <w:t>19</w:t>
      </w:r>
    </w:p>
    <w:p>
      <w:pPr>
        <w:tabs>
          <w:tab w:val="right" w:pos="9860" w:leader="dot"/>
        </w:tabs>
        <w:spacing w:after="200" w:line="288"/>
      </w:pPr>
      <w:r>
        <w:t>10.   Implementation Checklist</w:t>
        <w:tab/>
        <w:t>23</w:t>
      </w:r>
    </w:p>
    <w:p>
      <w:pPr>
        <w:tabs>
          <w:tab w:val="right" w:pos="9860" w:leader="dot"/>
        </w:tabs>
        <w:spacing w:after="200" w:line="288"/>
      </w:pPr>
      <w:r>
        <w:t>11.   Resolved Quality Decisions &amp; Deferred Enhancements</w:t>
        <w:tab/>
        <w:t>27</w:t>
      </w:r>
    </w:p>
    <w:p>
      <w:pPr>
        <w:tabs>
          <w:tab w:val="right" w:pos="9860" w:leader="dot"/>
        </w:tabs>
        <w:spacing w:after="200" w:line="288"/>
      </w:pPr>
      <w:r>
        <w:t>12.   Revision Summary</w:t>
        <w:tab/>
        <w:t>29</w:t>
      </w:r>
    </w:p>
    <w:p>
      <w:r>
        <w:br w:type="page"/>
      </w:r>
    </w:p>
    <w:p>
      <w:pPr>
        <w:pStyle w:val="Heading1"/>
      </w:pPr>
      <w:r>
        <w:rPr>
          <w:rFonts w:ascii="Inter" w:cs="Inter" w:eastAsia="Inter" w:hAnsi="Inter"/>
          <w:b/>
          <w:bCs/>
          <w:i w:val="false"/>
          <w:iCs w:val="false"/>
          <w:caps w:val="false"/>
          <w:color w:val="041B3B"/>
          <w:sz w:val="40"/>
          <w:szCs w:val="40"/>
        </w:rPr>
        <w:t xml:space="preserve">1.  Design Principles</w:t>
      </w:r>
    </w:p>
    <w:p>
      <w:pPr>
        <w:spacing w:after="150" w:before="0" w:line="288"/>
      </w:pPr>
      <w:r>
        <w:rPr>
          <w:rFonts w:ascii="Inter" w:cs="Inter" w:eastAsia="Inter" w:hAnsi="Inter"/>
          <w:b w:val="false"/>
          <w:bCs w:val="false"/>
          <w:i w:val="false"/>
          <w:iCs w:val="false"/>
          <w:caps w:val="false"/>
          <w:color w:val="16202B"/>
          <w:sz w:val="26"/>
          <w:szCs w:val="26"/>
        </w:rPr>
        <w:t>Auratio evaluates every Approved submission on a transparent 100-point scale and ranks users through track-specific public leaderboards. The system does not directly reward submission count as a separate rating component, but the MVP explicitly allows exact and near-duplicate recordings and therefore does not claim duplicate-resubmission prevention.</w:t>
      </w:r>
    </w:p>
    <w:tbl>
      <w:tblPr>
        <w:tblW w:type="dxa" w:w="9860"/>
        <w:tblBorders>
          <w:top w:val="single" w:color="53A6E6" w:sz="2"/>
          <w:left w:val="single" w:color="53A6E6" w:sz="18"/>
          <w:bottom w:val="single" w:color="53A6E6" w:sz="2"/>
          <w:right w:val="single" w:color="53A6E6" w:sz="2"/>
          <w:insideH w:val="none" w:color="FFFFFF" w:sz="0"/>
          <w:insideV w:val="none" w:color="FFFFFF" w:sz="0"/>
        </w:tblBorders>
      </w:tblPr>
      <w:tblGrid>
        <w:gridCol w:w="9860"/>
      </w:tblGrid>
      <w:tr>
        <w:tc>
          <w:tcPr>
            <w:tcW w:type="dxa" w:w="9860"/>
            <w:shd w:fill="EAF2FB" w:color="auto" w:val="clear"/>
            <w:tcMar>
              <w:top w:type="dxa" w:w="150"/>
              <w:left w:type="dxa" w:w="200"/>
              <w:bottom w:type="dxa" w:w="150"/>
              <w:right w:type="dxa" w:w="180"/>
            </w:tcMar>
          </w:tcPr>
          <w:p>
            <w:pPr>
              <w:spacing w:after="0" w:line="288"/>
            </w:pPr>
            <w:r>
              <w:rPr>
                <w:rFonts w:ascii="Inter" w:cs="Inter" w:eastAsia="Inter" w:hAnsi="Inter"/>
                <w:b/>
                <w:bCs/>
                <w:i w:val="false"/>
                <w:iCs w:val="false"/>
                <w:caps w:val="false"/>
                <w:color w:val="041B3B"/>
                <w:sz w:val="26"/>
                <w:szCs w:val="26"/>
              </w:rPr>
              <w:t xml:space="preserve">Core rule:  </w:t>
            </w:r>
            <w:r>
              <w:rPr>
                <w:rFonts w:ascii="Inter" w:cs="Inter" w:eastAsia="Inter" w:hAnsi="Inter"/>
                <w:b w:val="false"/>
                <w:bCs w:val="false"/>
                <w:i w:val="false"/>
                <w:iCs w:val="false"/>
                <w:caps w:val="false"/>
                <w:color w:val="16202B"/>
                <w:sz w:val="26"/>
                <w:szCs w:val="26"/>
              </w:rPr>
              <w:t xml:space="preserve">AI Evaluation and Human Evaluation are separate ranking systems. A score affects only the leaderboard for the evaluation method actually used.</w:t>
            </w:r>
          </w:p>
        </w:tc>
      </w:tr>
    </w:tbl>
    <w:p>
      <w:pPr>
        <w:spacing w:after="160"/>
      </w:pPr>
      <w:r>
        <w:rPr>
          <w:rFonts w:ascii="Inter" w:cs="Inter" w:eastAsia="Inter" w:hAnsi="Inter"/>
          <w:b w:val="false"/>
          <w:bCs w:val="false"/>
          <w:i w:val="false"/>
          <w:iCs w:val="false"/>
          <w:caps w:val="false"/>
          <w:color w:val="16202B"/>
          <w:sz w:val="26"/>
          <w:szCs w:val="26"/>
        </w:rPr>
        <w:t xml:space="preserve"/>
      </w:r>
    </w:p>
    <w:p>
      <w:pPr>
        <w:pStyle w:val="ListParagraph"/>
        <w:numPr>
          <w:ilvl w:val="0"/>
          <w:numId w:val="1"/>
        </w:numPr>
        <w:spacing w:after="90" w:line="288"/>
      </w:pPr>
      <w:r>
        <w:rPr>
          <w:rFonts w:ascii="Inter" w:cs="Inter" w:eastAsia="Inter" w:hAnsi="Inter"/>
          <w:b/>
          <w:bCs/>
          <w:i w:val="false"/>
          <w:iCs w:val="false"/>
          <w:caps w:val="false"/>
          <w:color w:val="16202B"/>
          <w:sz w:val="26"/>
          <w:szCs w:val="26"/>
        </w:rPr>
        <w:t xml:space="preserve">Track isolation:  </w:t>
      </w:r>
      <w:r>
        <w:rPr>
          <w:rFonts w:ascii="Inter" w:cs="Inter" w:eastAsia="Inter" w:hAnsi="Inter"/>
          <w:b w:val="false"/>
          <w:bCs w:val="false"/>
          <w:i w:val="false"/>
          <w:iCs w:val="false"/>
          <w:caps w:val="false"/>
          <w:color w:val="16202B"/>
          <w:sz w:val="26"/>
          <w:szCs w:val="26"/>
        </w:rPr>
        <w:t xml:space="preserve">performance in one of the 13 tracks never affects another track.</w:t>
      </w:r>
    </w:p>
    <w:p>
      <w:pPr>
        <w:pStyle w:val="ListParagraph"/>
        <w:numPr>
          <w:ilvl w:val="0"/>
          <w:numId w:val="1"/>
        </w:numPr>
        <w:spacing w:after="90" w:line="288"/>
      </w:pPr>
      <w:r>
        <w:rPr>
          <w:rFonts w:ascii="Inter" w:cs="Inter" w:eastAsia="Inter" w:hAnsi="Inter"/>
          <w:b/>
          <w:bCs/>
          <w:i w:val="false"/>
          <w:iCs w:val="false"/>
          <w:caps w:val="false"/>
          <w:color w:val="16202B"/>
          <w:sz w:val="26"/>
          <w:szCs w:val="26"/>
        </w:rPr>
        <w:t xml:space="preserve">Mode isolation:  </w:t>
      </w:r>
      <w:r>
        <w:rPr>
          <w:rFonts w:ascii="Inter" w:cs="Inter" w:eastAsia="Inter" w:hAnsi="Inter"/>
          <w:b w:val="false"/>
          <w:bCs w:val="false"/>
          <w:i w:val="false"/>
          <w:iCs w:val="false"/>
          <w:caps w:val="false"/>
          <w:color w:val="16202B"/>
          <w:sz w:val="26"/>
          <w:szCs w:val="26"/>
        </w:rPr>
        <w:t xml:space="preserve">AI and Human scores are never mixed, averaged, normalised, or transferred between public leaderboards.</w:t>
      </w:r>
    </w:p>
    <w:p>
      <w:pPr>
        <w:pStyle w:val="ListParagraph"/>
        <w:numPr>
          <w:ilvl w:val="0"/>
          <w:numId w:val="1"/>
        </w:numPr>
        <w:spacing w:after="90" w:line="288"/>
      </w:pPr>
      <w:r>
        <w:rPr>
          <w:rFonts w:ascii="Inter" w:cs="Inter" w:eastAsia="Inter" w:hAnsi="Inter"/>
          <w:b/>
          <w:bCs/>
          <w:i w:val="false"/>
          <w:iCs w:val="false"/>
          <w:caps w:val="false"/>
          <w:color w:val="16202B"/>
          <w:sz w:val="26"/>
          <w:szCs w:val="26"/>
        </w:rPr>
        <w:t xml:space="preserve">Comparable attempts:  </w:t>
      </w:r>
      <w:r>
        <w:rPr>
          <w:rFonts w:ascii="Inter" w:cs="Inter" w:eastAsia="Inter" w:hAnsi="Inter"/>
          <w:b w:val="false"/>
          <w:bCs w:val="false"/>
          <w:i w:val="false"/>
          <w:iCs w:val="false"/>
          <w:caps w:val="false"/>
          <w:color w:val="16202B"/>
          <w:sz w:val="26"/>
          <w:szCs w:val="26"/>
        </w:rPr>
        <w:t xml:space="preserve">every track defines a fixed duration range, so submissions ranked against one another represent performances of comparable demand.</w:t>
      </w:r>
    </w:p>
    <w:p>
      <w:pPr>
        <w:pStyle w:val="ListParagraph"/>
        <w:numPr>
          <w:ilvl w:val="0"/>
          <w:numId w:val="1"/>
        </w:numPr>
        <w:spacing w:after="90" w:line="288"/>
      </w:pPr>
      <w:r>
        <w:rPr>
          <w:rFonts w:ascii="Inter" w:cs="Inter" w:eastAsia="Inter" w:hAnsi="Inter"/>
          <w:b/>
          <w:bCs/>
          <w:i w:val="false"/>
          <w:iCs w:val="false"/>
          <w:caps w:val="false"/>
          <w:color w:val="16202B"/>
          <w:sz w:val="26"/>
          <w:szCs w:val="26"/>
        </w:rPr>
        <w:t xml:space="preserve">Current form over career peak:  </w:t>
      </w:r>
      <w:r>
        <w:rPr>
          <w:rFonts w:ascii="Inter" w:cs="Inter" w:eastAsia="Inter" w:hAnsi="Inter"/>
          <w:b w:val="false"/>
          <w:bCs w:val="false"/>
          <w:i w:val="false"/>
          <w:iCs w:val="false"/>
          <w:caps w:val="false"/>
          <w:color w:val="16202B"/>
          <w:sz w:val="26"/>
          <w:szCs w:val="26"/>
        </w:rPr>
        <w:t xml:space="preserve">the rating reflects a user's recent demonstrated ability within a fixed window, not a lifetime-best result or an accumulated submission count.</w:t>
      </w:r>
    </w:p>
    <w:p>
      <w:pPr>
        <w:pStyle w:val="ListParagraph"/>
        <w:numPr>
          <w:ilvl w:val="0"/>
          <w:numId w:val="1"/>
        </w:numPr>
        <w:spacing w:after="90" w:line="288"/>
      </w:pPr>
      <w:r>
        <w:rPr>
          <w:rFonts w:ascii="Inter" w:cs="Inter" w:eastAsia="Inter" w:hAnsi="Inter"/>
          <w:b/>
          <w:bCs/>
          <w:i w:val="false"/>
          <w:iCs w:val="false"/>
          <w:caps w:val="false"/>
          <w:color w:val="16202B"/>
          <w:sz w:val="26"/>
          <w:szCs w:val="26"/>
        </w:rPr>
        <w:t xml:space="preserve">Approved-only publication:  </w:t>
      </w:r>
      <w:r>
        <w:rPr>
          <w:rFonts w:ascii="Inter" w:cs="Inter" w:eastAsia="Inter" w:hAnsi="Inter"/>
          <w:b w:val="false"/>
          <w:bCs w:val="false"/>
          <w:i w:val="false"/>
          <w:iCs w:val="false"/>
          <w:caps w:val="false"/>
          <w:color w:val="16202B"/>
          <w:sz w:val="26"/>
          <w:szCs w:val="26"/>
        </w:rPr>
        <w:t xml:space="preserve">pending, rejected, incomplete, or flagged evaluations do not affect progress metrics or public rankings.</w:t>
      </w:r>
    </w:p>
    <w:p>
      <w:pPr>
        <w:pStyle w:val="ListParagraph"/>
        <w:numPr>
          <w:ilvl w:val="0"/>
          <w:numId w:val="1"/>
        </w:numPr>
        <w:spacing w:after="90" w:line="288"/>
      </w:pPr>
      <w:r>
        <w:rPr>
          <w:rFonts w:ascii="Inter" w:cs="Inter" w:eastAsia="Inter" w:hAnsi="Inter"/>
          <w:b/>
          <w:bCs/>
          <w:i w:val="false"/>
          <w:iCs w:val="false"/>
          <w:caps w:val="false"/>
          <w:color w:val="16202B"/>
          <w:sz w:val="26"/>
          <w:szCs w:val="26"/>
        </w:rPr>
        <w:t xml:space="preserve">Consistency:  </w:t>
      </w:r>
      <w:r>
        <w:rPr>
          <w:rFonts w:ascii="Inter" w:cs="Inter" w:eastAsia="Inter" w:hAnsi="Inter"/>
          <w:b w:val="false"/>
          <w:bCs w:val="false"/>
          <w:i w:val="false"/>
          <w:iCs w:val="false"/>
          <w:caps w:val="false"/>
          <w:color w:val="16202B"/>
          <w:sz w:val="26"/>
          <w:szCs w:val="26"/>
        </w:rPr>
        <w:t xml:space="preserve">criterion-level weights are fixed so AI prompts and human reviewers use the same scoring structure.</w:t>
      </w:r>
    </w:p>
    <w:p>
      <w:pPr>
        <w:pStyle w:val="ListParagraph"/>
        <w:numPr>
          <w:ilvl w:val="0"/>
          <w:numId w:val="1"/>
        </w:numPr>
        <w:spacing w:after="90" w:line="288"/>
      </w:pPr>
      <w:r>
        <w:rPr>
          <w:rFonts w:ascii="Inter" w:cs="Inter" w:eastAsia="Inter" w:hAnsi="Inter"/>
          <w:b/>
          <w:bCs/>
          <w:i w:val="false"/>
          <w:iCs w:val="false"/>
          <w:caps w:val="false"/>
          <w:color w:val="16202B"/>
          <w:sz w:val="26"/>
          <w:szCs w:val="26"/>
        </w:rPr>
        <w:t xml:space="preserve">Simplicity:  </w:t>
      </w:r>
      <w:r>
        <w:rPr>
          <w:rFonts w:ascii="Inter" w:cs="Inter" w:eastAsia="Inter" w:hAnsi="Inter"/>
          <w:b w:val="false"/>
          <w:bCs w:val="false"/>
          <w:i w:val="false"/>
          <w:iCs w:val="false"/>
          <w:caps w:val="false"/>
          <w:color w:val="16202B"/>
          <w:sz w:val="26"/>
          <w:szCs w:val="26"/>
        </w:rPr>
        <w:t xml:space="preserve">each track page displays one evaluation-mode toggle and one time-period toggle.</w:t>
      </w:r>
    </w:p>
    <w:p>
      <w:pPr>
        <w:pStyle w:val="ListParagraph"/>
        <w:numPr>
          <w:ilvl w:val="0"/>
          <w:numId w:val="1"/>
        </w:numPr>
        <w:spacing w:after="90" w:line="288"/>
      </w:pPr>
      <w:r>
        <w:rPr>
          <w:rFonts w:ascii="Inter" w:cs="Inter" w:eastAsia="Inter" w:hAnsi="Inter"/>
          <w:b/>
          <w:bCs/>
          <w:i w:val="false"/>
          <w:iCs w:val="false"/>
          <w:caps w:val="false"/>
          <w:color w:val="16202B"/>
          <w:sz w:val="26"/>
          <w:szCs w:val="26"/>
        </w:rPr>
        <w:t>Approved-state finality:  Approved is terminal in the MVP; no post-approval withdrawal/revocation workflow is part of this specification.</w:t>
      </w:r>
    </w:p>
    <w:p>
      <w:pPr>
        <w:pStyle w:val="ListParagraph"/>
        <w:numPr>
          <w:ilvl w:val="0"/>
          <w:numId w:val="1"/>
        </w:numPr>
        <w:spacing w:after="90" w:line="288"/>
      </w:pPr>
      <w:r>
        <w:rPr>
          <w:rFonts w:ascii="Inter" w:cs="Inter" w:eastAsia="Inter" w:hAnsi="Inter"/>
          <w:b/>
          <w:bCs/>
          <w:i w:val="false"/>
          <w:iCs w:val="false"/>
          <w:caps w:val="false"/>
          <w:color w:val="16202B"/>
          <w:sz w:val="26"/>
          <w:szCs w:val="26"/>
        </w:rPr>
        <w:t>Request concurrency:  one user may have only one active evaluation request at a time; a terminal Approved, Rejected, or Cancelled outcome releases the gate.</w:t>
      </w:r>
    </w:p>
    <w:p>
      <w:r>
        <w:br w:type="page"/>
      </w:r>
    </w:p>
    <w:p>
      <w:pPr>
        <w:pStyle w:val="ListParagraph"/>
        <w:numPr>
          <w:ilvl w:val="0"/>
          <w:numId w:val="1"/>
        </w:numPr>
        <w:spacing w:after="90" w:line="288"/>
      </w:pPr>
      <w:r>
        <w:rPr>
          <w:rFonts w:ascii="Inter" w:cs="Inter" w:eastAsia="Inter" w:hAnsi="Inter"/>
          <w:b/>
          <w:bCs/>
          <w:i w:val="false"/>
          <w:iCs w:val="false"/>
          <w:caps w:val="false"/>
          <w:color w:val="16202B"/>
          <w:sz w:val="26"/>
          <w:szCs w:val="26"/>
        </w:rPr>
        <w:t>Evaluator accountability: Human Evaluation requests use one active volunteer evaluator assignment at a time, with track eligibility, audited assignment/reassignment, evaluator identity, submission locking, and versioned re-review. Admin moderation must not silently rewrite evaluator scores.</w:t>
      </w:r>
    </w:p>
    <w:p>
      <w:pPr>
        <w:pStyle w:val="Heading1"/>
      </w:pPr>
      <w:r>
        <w:rPr>
          <w:rFonts w:ascii="Inter" w:cs="Inter" w:eastAsia="Inter" w:hAnsi="Inter"/>
          <w:b/>
          <w:bCs/>
          <w:i w:val="false"/>
          <w:iCs w:val="false"/>
          <w:caps w:val="false"/>
          <w:color w:val="041B3B"/>
          <w:sz w:val="40"/>
          <w:szCs w:val="40"/>
        </w:rPr>
        <w:t xml:space="preserve">2.  Submission Eligibility and Duration Standards</w:t>
      </w:r>
    </w:p>
    <w:p>
      <w:pPr>
        <w:pStyle w:val="Heading2"/>
      </w:pPr>
      <w:r>
        <w:rPr>
          <w:rFonts w:ascii="Inter" w:cs="Inter" w:eastAsia="Inter" w:hAnsi="Inter"/>
          <w:b/>
          <w:bCs/>
          <w:i w:val="false"/>
          <w:iCs w:val="false"/>
          <w:caps w:val="false"/>
          <w:color w:val="0A3D6E"/>
          <w:sz w:val="30"/>
          <w:szCs w:val="30"/>
        </w:rPr>
        <w:t xml:space="preserve">2.1  Why duration is bounded</w:t>
      </w:r>
    </w:p>
    <w:p>
      <w:pPr>
        <w:spacing w:after="150" w:before="0" w:line="288"/>
      </w:pPr>
      <w:r>
        <w:rPr>
          <w:rFonts w:ascii="Inter" w:cs="Inter" w:eastAsia="Inter" w:hAnsi="Inter"/>
          <w:b w:val="false"/>
          <w:bCs w:val="false"/>
          <w:i w:val="false"/>
          <w:iCs w:val="false"/>
          <w:caps w:val="false"/>
          <w:color w:val="16202B"/>
          <w:sz w:val="26"/>
          <w:szCs w:val="26"/>
        </w:rPr>
        <w:t xml:space="preserve">A 30-second clip and a 10-minute speech are not comparable performances, and scoring them on the same 100-point scale rewards the shorter one. Brief recordings are structurally easier to deliver without pacing drift, filler accumulation, or a sagging middle section, so an unbounded scale creates a standing incentive to submit the shortest viable clip rather than to attempt the format properly.</w:t>
      </w:r>
    </w:p>
    <w:p>
      <w:pPr>
        <w:spacing w:after="150" w:before="0" w:line="288"/>
      </w:pPr>
      <w:r>
        <w:rPr>
          <w:rFonts w:ascii="Inter" w:cs="Inter" w:eastAsia="Inter" w:hAnsi="Inter"/>
          <w:b w:val="false"/>
          <w:bCs w:val="false"/>
          <w:i w:val="false"/>
          <w:iCs w:val="false"/>
          <w:caps w:val="false"/>
          <w:color w:val="16202B"/>
          <w:sz w:val="26"/>
          <w:szCs w:val="26"/>
        </w:rPr>
        <w:t xml:space="preserve">Fixed duration ranges remove that incentive and make every submission within a track a comparable attempt. The approach follows established competitive speaking practice, where formats carry defined time limits and out-of-range performances are disqualified rather than penalised by degrees.</w:t>
      </w:r>
    </w:p>
    <w:p>
      <w:pPr>
        <w:spacing w:after="12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2.2  Duration ranges by track</w:t>
      </w:r>
    </w:p>
    <w:p>
      <w:pPr>
        <w:spacing w:after="200" w:before="0" w:line="288"/>
      </w:pPr>
      <w:r>
        <w:rPr>
          <w:rFonts w:ascii="Inter" w:cs="Inter" w:eastAsia="Inter" w:hAnsi="Inter"/>
          <w:b w:val="false"/>
          <w:bCs w:val="false"/>
          <w:i w:val="false"/>
          <w:iCs w:val="false"/>
          <w:caps w:val="false"/>
          <w:color w:val="16202B"/>
          <w:sz w:val="26"/>
          <w:szCs w:val="26"/>
        </w:rPr>
        <w:t xml:space="preserve">Every track defines a target range and a ±30-second grace band. The grace band absorbs encoding, trimming, and export variance; it is not an extension of the format.</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4060"/>
        <w:gridCol w:w="2700"/>
        <w:gridCol w:w="3100"/>
      </w:tblGrid>
      <w:tr>
        <w:trPr>
          <w:cantSplit/>
          <w:tblHeader/>
        </w:trPr>
        <w:tc>
          <w:tcPr>
            <w:tcW w:type="dxa" w:w="40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Track</w:t>
            </w:r>
          </w:p>
        </w:tc>
        <w:tc>
          <w:tcPr>
            <w:tcW w:type="dxa" w:w="270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Target Range</w:t>
            </w:r>
          </w:p>
        </w:tc>
        <w:tc>
          <w:tcPr>
            <w:tcW w:type="dxa" w:w="310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Accepted Window</w:t>
            </w:r>
          </w:p>
        </w:tc>
      </w:tr>
      <w:tr>
        <w:trPr>
          <w:cantSplit/>
        </w:trPr>
        <w:tc>
          <w:tcPr>
            <w:tcW w:type="dxa" w:w="40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Informative</w:t>
            </w:r>
          </w:p>
        </w:tc>
        <w:tc>
          <w:tcPr>
            <w:tcW w:type="dxa" w:w="2700"/>
            <w:tcMar>
              <w:top w:type="dxa" w:w="100"/>
              <w:left w:type="dxa" w:w="140"/>
              <w:bottom w:type="dxa" w:w="100"/>
              <w:right w:type="dxa" w:w="140"/>
            </w:tcMar>
            <w:vAlign w:val="top"/>
          </w:tcPr>
          <w:p>
            <w:r>
              <w:t>5:00 – 7:00</w:t>
            </w:r>
          </w:p>
        </w:tc>
        <w:tc>
          <w:tcPr>
            <w:tcW w:type="dxa" w:w="3100"/>
            <w:tcMar>
              <w:top w:type="dxa" w:w="100"/>
              <w:left w:type="dxa" w:w="140"/>
              <w:bottom w:type="dxa" w:w="100"/>
              <w:right w:type="dxa" w:w="140"/>
            </w:tcMar>
            <w:vAlign w:val="top"/>
          </w:tcPr>
          <w:p>
            <w:r>
              <w:t>4:30 – 7:30</w:t>
            </w:r>
          </w:p>
        </w:tc>
      </w:tr>
      <w:tr>
        <w:trPr>
          <w:cantSplit/>
        </w:trPr>
        <w:tc>
          <w:tcPr>
            <w:tcW w:type="dxa" w:w="40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Extempore</w:t>
            </w:r>
          </w:p>
        </w:tc>
        <w:tc>
          <w:tcPr>
            <w:tcW w:type="dxa" w:w="2700"/>
            <w:shd w:fill="F4F8FC" w:color="auto" w:val="clear"/>
            <w:tcMar>
              <w:top w:type="dxa" w:w="100"/>
              <w:left w:type="dxa" w:w="140"/>
              <w:bottom w:type="dxa" w:w="100"/>
              <w:right w:type="dxa" w:w="140"/>
            </w:tcMar>
            <w:vAlign w:val="top"/>
          </w:tcPr>
          <w:p>
            <w:r>
              <w:t>2:00 – 3:00</w:t>
            </w:r>
          </w:p>
        </w:tc>
        <w:tc>
          <w:tcPr>
            <w:tcW w:type="dxa" w:w="3100"/>
            <w:shd w:fill="F4F8FC" w:color="auto" w:val="clear"/>
            <w:tcMar>
              <w:top w:type="dxa" w:w="100"/>
              <w:left w:type="dxa" w:w="140"/>
              <w:bottom w:type="dxa" w:w="100"/>
              <w:right w:type="dxa" w:w="140"/>
            </w:tcMar>
            <w:vAlign w:val="top"/>
          </w:tcPr>
          <w:p>
            <w:r>
              <w:t>1:30 – 3:30</w:t>
            </w:r>
          </w:p>
        </w:tc>
      </w:tr>
      <w:tr>
        <w:trPr>
          <w:cantSplit/>
        </w:trPr>
        <w:tc>
          <w:tcPr>
            <w:tcW w:type="dxa" w:w="40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Persuasive</w:t>
            </w:r>
          </w:p>
        </w:tc>
        <w:tc>
          <w:tcPr>
            <w:tcW w:type="dxa" w:w="2700"/>
            <w:tcMar>
              <w:top w:type="dxa" w:w="100"/>
              <w:left w:type="dxa" w:w="140"/>
              <w:bottom w:type="dxa" w:w="100"/>
              <w:right w:type="dxa" w:w="140"/>
            </w:tcMar>
            <w:vAlign w:val="top"/>
          </w:tcPr>
          <w:p>
            <w:r>
              <w:t>5:00 – 7:00</w:t>
            </w:r>
          </w:p>
        </w:tc>
        <w:tc>
          <w:tcPr>
            <w:tcW w:type="dxa" w:w="3100"/>
            <w:tcMar>
              <w:top w:type="dxa" w:w="100"/>
              <w:left w:type="dxa" w:w="140"/>
              <w:bottom w:type="dxa" w:w="100"/>
              <w:right w:type="dxa" w:w="140"/>
            </w:tcMar>
            <w:vAlign w:val="top"/>
          </w:tcPr>
          <w:p>
            <w:r>
              <w:t>4:30 – 7:30</w:t>
            </w:r>
          </w:p>
        </w:tc>
      </w:tr>
      <w:tr>
        <w:trPr>
          <w:cantSplit/>
        </w:trPr>
        <w:tc>
          <w:tcPr>
            <w:tcW w:type="dxa" w:w="40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Argumentative / Debate</w:t>
            </w:r>
          </w:p>
        </w:tc>
        <w:tc>
          <w:tcPr>
            <w:tcW w:type="dxa" w:w="2700"/>
            <w:shd w:fill="F4F8FC" w:color="auto" w:val="clear"/>
            <w:tcMar>
              <w:top w:type="dxa" w:w="100"/>
              <w:left w:type="dxa" w:w="140"/>
              <w:bottom w:type="dxa" w:w="100"/>
              <w:right w:type="dxa" w:w="140"/>
            </w:tcMar>
            <w:vAlign w:val="top"/>
          </w:tcPr>
          <w:p>
            <w:r>
              <w:t>4:00 – 6:00</w:t>
            </w:r>
          </w:p>
        </w:tc>
        <w:tc>
          <w:tcPr>
            <w:tcW w:type="dxa" w:w="3100"/>
            <w:shd w:fill="F4F8FC" w:color="auto" w:val="clear"/>
            <w:tcMar>
              <w:top w:type="dxa" w:w="100"/>
              <w:left w:type="dxa" w:w="140"/>
              <w:bottom w:type="dxa" w:w="100"/>
              <w:right w:type="dxa" w:w="140"/>
            </w:tcMar>
            <w:vAlign w:val="top"/>
          </w:tcPr>
          <w:p>
            <w:r>
              <w:t>3:30 – 6:30</w:t>
            </w:r>
          </w:p>
        </w:tc>
      </w:tr>
      <w:tr>
        <w:trPr>
          <w:cantSplit/>
        </w:trPr>
        <w:tc>
          <w:tcPr>
            <w:tcW w:type="dxa" w:w="40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Explanatory</w:t>
            </w:r>
          </w:p>
        </w:tc>
        <w:tc>
          <w:tcPr>
            <w:tcW w:type="dxa" w:w="2700"/>
            <w:tcMar>
              <w:top w:type="dxa" w:w="100"/>
              <w:left w:type="dxa" w:w="140"/>
              <w:bottom w:type="dxa" w:w="100"/>
              <w:right w:type="dxa" w:w="140"/>
            </w:tcMar>
            <w:vAlign w:val="top"/>
          </w:tcPr>
          <w:p>
            <w:r>
              <w:t>5:00 – 7:00</w:t>
            </w:r>
          </w:p>
        </w:tc>
        <w:tc>
          <w:tcPr>
            <w:tcW w:type="dxa" w:w="3100"/>
            <w:tcMar>
              <w:top w:type="dxa" w:w="100"/>
              <w:left w:type="dxa" w:w="140"/>
              <w:bottom w:type="dxa" w:w="100"/>
              <w:right w:type="dxa" w:w="140"/>
            </w:tcMar>
            <w:vAlign w:val="top"/>
          </w:tcPr>
          <w:p>
            <w:r>
              <w:t>4:30 – 7:30</w:t>
            </w:r>
          </w:p>
        </w:tc>
      </w:tr>
      <w:tr>
        <w:trPr>
          <w:cantSplit/>
        </w:trPr>
        <w:tc>
          <w:tcPr>
            <w:tcW w:type="dxa" w:w="40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News Delivery</w:t>
            </w:r>
          </w:p>
        </w:tc>
        <w:tc>
          <w:tcPr>
            <w:tcW w:type="dxa" w:w="2700"/>
            <w:shd w:fill="F4F8FC" w:color="auto" w:val="clear"/>
            <w:tcMar>
              <w:top w:type="dxa" w:w="100"/>
              <w:left w:type="dxa" w:w="140"/>
              <w:bottom w:type="dxa" w:w="100"/>
              <w:right w:type="dxa" w:w="140"/>
            </w:tcMar>
            <w:vAlign w:val="top"/>
          </w:tcPr>
          <w:p>
            <w:r>
              <w:t>1:00 – 3:00</w:t>
            </w:r>
          </w:p>
        </w:tc>
        <w:tc>
          <w:tcPr>
            <w:tcW w:type="dxa" w:w="3100"/>
            <w:shd w:fill="F4F8FC" w:color="auto" w:val="clear"/>
            <w:tcMar>
              <w:top w:type="dxa" w:w="100"/>
              <w:left w:type="dxa" w:w="140"/>
              <w:bottom w:type="dxa" w:w="100"/>
              <w:right w:type="dxa" w:w="140"/>
            </w:tcMar>
            <w:vAlign w:val="top"/>
          </w:tcPr>
          <w:p>
            <w:r>
              <w:t>0:30 – 3:30</w:t>
            </w:r>
          </w:p>
        </w:tc>
      </w:tr>
      <w:tr>
        <w:trPr>
          <w:cantSplit/>
        </w:trPr>
        <w:tc>
          <w:tcPr>
            <w:tcW w:type="dxa" w:w="40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Business Pitch / Sales Pitch</w:t>
            </w:r>
          </w:p>
        </w:tc>
        <w:tc>
          <w:tcPr>
            <w:tcW w:type="dxa" w:w="2700"/>
            <w:tcMar>
              <w:top w:type="dxa" w:w="100"/>
              <w:left w:type="dxa" w:w="140"/>
              <w:bottom w:type="dxa" w:w="100"/>
              <w:right w:type="dxa" w:w="140"/>
            </w:tcMar>
            <w:vAlign w:val="top"/>
          </w:tcPr>
          <w:p>
            <w:r>
              <w:t>3:00 – 5:00</w:t>
            </w:r>
          </w:p>
        </w:tc>
        <w:tc>
          <w:tcPr>
            <w:tcW w:type="dxa" w:w="3100"/>
            <w:tcMar>
              <w:top w:type="dxa" w:w="100"/>
              <w:left w:type="dxa" w:w="140"/>
              <w:bottom w:type="dxa" w:w="100"/>
              <w:right w:type="dxa" w:w="140"/>
            </w:tcMar>
            <w:vAlign w:val="top"/>
          </w:tcPr>
          <w:p>
            <w:r>
              <w:t>2:30 – 5:30</w:t>
            </w:r>
          </w:p>
        </w:tc>
      </w:tr>
      <w:tr>
        <w:trPr>
          <w:cantSplit/>
        </w:trPr>
        <w:tc>
          <w:tcPr>
            <w:tcW w:type="dxa" w:w="40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General Presentation / Multimedia</w:t>
            </w:r>
          </w:p>
        </w:tc>
        <w:tc>
          <w:tcPr>
            <w:tcW w:type="dxa" w:w="2700"/>
            <w:shd w:fill="F4F8FC" w:color="auto" w:val="clear"/>
            <w:tcMar>
              <w:top w:type="dxa" w:w="100"/>
              <w:left w:type="dxa" w:w="140"/>
              <w:bottom w:type="dxa" w:w="100"/>
              <w:right w:type="dxa" w:w="140"/>
            </w:tcMar>
            <w:vAlign w:val="top"/>
          </w:tcPr>
          <w:p>
            <w:r>
              <w:t>6:00 – 10:00</w:t>
            </w:r>
          </w:p>
        </w:tc>
        <w:tc>
          <w:tcPr>
            <w:tcW w:type="dxa" w:w="3100"/>
            <w:shd w:fill="F4F8FC" w:color="auto" w:val="clear"/>
            <w:tcMar>
              <w:top w:type="dxa" w:w="100"/>
              <w:left w:type="dxa" w:w="140"/>
              <w:bottom w:type="dxa" w:w="100"/>
              <w:right w:type="dxa" w:w="140"/>
            </w:tcMar>
            <w:vAlign w:val="top"/>
          </w:tcPr>
          <w:p>
            <w:r>
              <w:t>5:30 – 10:30</w:t>
            </w:r>
          </w:p>
        </w:tc>
      </w:tr>
      <w:tr>
        <w:trPr>
          <w:cantSplit/>
        </w:trPr>
        <w:tc>
          <w:tcPr>
            <w:tcW w:type="dxa" w:w="40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Academic — Poster / Project / Thesis</w:t>
            </w:r>
          </w:p>
        </w:tc>
        <w:tc>
          <w:tcPr>
            <w:tcW w:type="dxa" w:w="2700"/>
            <w:tcMar>
              <w:top w:type="dxa" w:w="100"/>
              <w:left w:type="dxa" w:w="140"/>
              <w:bottom w:type="dxa" w:w="100"/>
              <w:right w:type="dxa" w:w="140"/>
            </w:tcMar>
            <w:vAlign w:val="top"/>
          </w:tcPr>
          <w:p>
            <w:r>
              <w:t>8:00 – 15:00</w:t>
            </w:r>
          </w:p>
        </w:tc>
        <w:tc>
          <w:tcPr>
            <w:tcW w:type="dxa" w:w="3100"/>
            <w:tcMar>
              <w:top w:type="dxa" w:w="100"/>
              <w:left w:type="dxa" w:w="140"/>
              <w:bottom w:type="dxa" w:w="100"/>
              <w:right w:type="dxa" w:w="140"/>
            </w:tcMar>
            <w:vAlign w:val="top"/>
          </w:tcPr>
          <w:p>
            <w:r>
              <w:t>7:30 – 15:30</w:t>
            </w:r>
          </w:p>
        </w:tc>
      </w:tr>
      <w:tr>
        <w:trPr>
          <w:cantSplit/>
        </w:trPr>
        <w:tc>
          <w:tcPr>
            <w:tcW w:type="dxa" w:w="40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Corporate Report</w:t>
            </w:r>
          </w:p>
        </w:tc>
        <w:tc>
          <w:tcPr>
            <w:tcW w:type="dxa" w:w="2700"/>
            <w:shd w:fill="F4F8FC" w:color="auto" w:val="clear"/>
            <w:tcMar>
              <w:top w:type="dxa" w:w="100"/>
              <w:left w:type="dxa" w:w="140"/>
              <w:bottom w:type="dxa" w:w="100"/>
              <w:right w:type="dxa" w:w="140"/>
            </w:tcMar>
            <w:vAlign w:val="top"/>
          </w:tcPr>
          <w:p>
            <w:r>
              <w:t>5:00 – 10:00</w:t>
            </w:r>
          </w:p>
        </w:tc>
        <w:tc>
          <w:tcPr>
            <w:tcW w:type="dxa" w:w="3100"/>
            <w:shd w:fill="F4F8FC" w:color="auto" w:val="clear"/>
            <w:tcMar>
              <w:top w:type="dxa" w:w="100"/>
              <w:left w:type="dxa" w:w="140"/>
              <w:bottom w:type="dxa" w:w="100"/>
              <w:right w:type="dxa" w:w="140"/>
            </w:tcMar>
            <w:vAlign w:val="top"/>
          </w:tcPr>
          <w:p>
            <w:r>
              <w:t>4:30 – 10:30</w:t>
            </w:r>
          </w:p>
        </w:tc>
      </w:tr>
      <w:tr>
        <w:trPr>
          <w:cantSplit/>
        </w:trPr>
        <w:tc>
          <w:tcPr>
            <w:tcW w:type="dxa" w:w="40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Infotainment-Oriented</w:t>
            </w:r>
          </w:p>
        </w:tc>
        <w:tc>
          <w:tcPr>
            <w:tcW w:type="dxa" w:w="2700"/>
            <w:tcMar>
              <w:top w:type="dxa" w:w="100"/>
              <w:left w:type="dxa" w:w="140"/>
              <w:bottom w:type="dxa" w:w="100"/>
              <w:right w:type="dxa" w:w="140"/>
            </w:tcMar>
            <w:vAlign w:val="top"/>
          </w:tcPr>
          <w:p>
            <w:r>
              <w:t>0:45 – 3:00</w:t>
            </w:r>
          </w:p>
        </w:tc>
        <w:tc>
          <w:tcPr>
            <w:tcW w:type="dxa" w:w="3100"/>
            <w:tcMar>
              <w:top w:type="dxa" w:w="100"/>
              <w:left w:type="dxa" w:w="140"/>
              <w:bottom w:type="dxa" w:w="100"/>
              <w:right w:type="dxa" w:w="140"/>
            </w:tcMar>
            <w:vAlign w:val="top"/>
          </w:tcPr>
          <w:p>
            <w:r>
              <w:t>0:30 – 3:30</w:t>
            </w:r>
          </w:p>
        </w:tc>
      </w:tr>
      <w:tr>
        <w:trPr>
          <w:cantSplit/>
        </w:trPr>
        <w:tc>
          <w:tcPr>
            <w:tcW w:type="dxa" w:w="40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Academic — Lecture / Course</w:t>
            </w:r>
          </w:p>
        </w:tc>
        <w:tc>
          <w:tcPr>
            <w:tcW w:type="dxa" w:w="2700"/>
            <w:shd w:fill="F4F8FC" w:color="auto" w:val="clear"/>
            <w:tcMar>
              <w:top w:type="dxa" w:w="100"/>
              <w:left w:type="dxa" w:w="140"/>
              <w:bottom w:type="dxa" w:w="100"/>
              <w:right w:type="dxa" w:w="140"/>
            </w:tcMar>
            <w:vAlign w:val="top"/>
          </w:tcPr>
          <w:p>
            <w:r>
              <w:t>8:00 – 20:00</w:t>
            </w:r>
          </w:p>
        </w:tc>
        <w:tc>
          <w:tcPr>
            <w:tcW w:type="dxa" w:w="3100"/>
            <w:shd w:fill="F4F8FC" w:color="auto" w:val="clear"/>
            <w:tcMar>
              <w:top w:type="dxa" w:w="100"/>
              <w:left w:type="dxa" w:w="140"/>
              <w:bottom w:type="dxa" w:w="100"/>
              <w:right w:type="dxa" w:w="140"/>
            </w:tcMar>
            <w:vAlign w:val="top"/>
          </w:tcPr>
          <w:p>
            <w:r>
              <w:t>7:30 – 20:30</w:t>
            </w:r>
          </w:p>
        </w:tc>
      </w:tr>
      <w:tr>
        <w:trPr>
          <w:cantSplit/>
        </w:trPr>
        <w:tc>
          <w:tcPr>
            <w:tcW w:type="dxa" w:w="406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Marketing / Promotional</w:t>
            </w:r>
          </w:p>
        </w:tc>
        <w:tc>
          <w:tcPr>
            <w:tcW w:type="dxa" w:w="2700"/>
            <w:tcMar>
              <w:top w:type="dxa" w:w="100"/>
              <w:left w:type="dxa" w:w="140"/>
              <w:bottom w:type="dxa" w:w="100"/>
              <w:right w:type="dxa" w:w="140"/>
            </w:tcMar>
            <w:vAlign w:val="top"/>
          </w:tcPr>
          <w:p>
            <w:r>
              <w:t>0:45 – 2:00</w:t>
            </w:r>
          </w:p>
        </w:tc>
        <w:tc>
          <w:tcPr>
            <w:tcW w:type="dxa" w:w="3100"/>
            <w:tcMar>
              <w:top w:type="dxa" w:w="100"/>
              <w:left w:type="dxa" w:w="140"/>
              <w:bottom w:type="dxa" w:w="100"/>
              <w:right w:type="dxa" w:w="140"/>
            </w:tcMar>
            <w:vAlign w:val="top"/>
          </w:tcPr>
          <w:p>
            <w:r>
              <w:t>0:30 – 2:30</w:t>
            </w:r>
          </w:p>
        </w:tc>
      </w:tr>
    </w:tbl>
    <w:p>
      <w:pPr>
        <w:spacing w:after="20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2.3  Enforcement rules</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Duration is measured server-side from the uploaded .mp4 and is authoritative. Client-side pre-checks are advisory and exist only to warn the user before upload completes.</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A submission inside the accepted window is processed normally. No points are awarded or deducted for length within that window.</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A submission outside the accepted window is rejected at upload, before evaluation. No AI call is made, no evaluator is assigned, no evaluation record is created, and the attempt does not count toward the rating window or the approved-evaluation total.</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The rejection message states the measured duration and the accepted window for the selected track, so the user can re-record without guessing.</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Duration is a gate, not a criterion. It never appears in the 100-point rubric.</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The MVP accepts an existing .mp4 file selected/uploaded by the user; it does not include an in-app recorder.</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A user may have only one active evaluation request at a time. The request remains active until Approved, Rejected, or Cancelled. An upload rejected before an evaluation record is created does not occupy the active-request slot.</w:t>
      </w:r>
    </w:p>
    <w:p>
      <w:pPr>
        <w:spacing w:after="120"/>
      </w:pPr>
      <w:r>
        <w:rPr>
          <w:rFonts w:ascii="Inter" w:cs="Inter" w:eastAsia="Inter" w:hAnsi="Inter"/>
          <w:b w:val="false"/>
          <w:bCs w:val="false"/>
          <w:i w:val="false"/>
          <w:iCs w:val="false"/>
          <w:caps w:val="false"/>
          <w:color w:val="16202B"/>
          <w:sz w:val="26"/>
          <w:szCs w:val="26"/>
        </w:rPr>
        <w:t xml:space="preserve"/>
      </w:r>
    </w:p>
    <w:tbl>
      <w:tblPr>
        <w:tblW w:type="dxa" w:w="9860"/>
        <w:tblBorders>
          <w:top w:val="single" w:color="53A6E6" w:sz="2"/>
          <w:left w:val="single" w:color="53A6E6" w:sz="18"/>
          <w:bottom w:val="single" w:color="53A6E6" w:sz="2"/>
          <w:right w:val="single" w:color="53A6E6" w:sz="2"/>
          <w:insideH w:val="none" w:color="FFFFFF" w:sz="0"/>
          <w:insideV w:val="none" w:color="FFFFFF" w:sz="0"/>
        </w:tblBorders>
      </w:tblPr>
      <w:tblGrid>
        <w:gridCol w:w="9860"/>
      </w:tblGrid>
      <w:tr>
        <w:tc>
          <w:tcPr>
            <w:tcW w:type="dxa" w:w="9860"/>
            <w:shd w:fill="EAF2FB" w:color="auto" w:val="clear"/>
            <w:tcMar>
              <w:top w:type="dxa" w:w="150"/>
              <w:left w:type="dxa" w:w="200"/>
              <w:bottom w:type="dxa" w:w="150"/>
              <w:right w:type="dxa" w:w="180"/>
            </w:tcMar>
          </w:tcPr>
          <w:p>
            <w:pPr>
              <w:spacing w:after="0" w:line="288"/>
            </w:pPr>
            <w:r>
              <w:rPr>
                <w:rFonts w:ascii="Inter" w:cs="Inter" w:eastAsia="Inter" w:hAnsi="Inter"/>
                <w:b/>
                <w:bCs/>
                <w:i w:val="false"/>
                <w:iCs w:val="false"/>
                <w:caps w:val="false"/>
                <w:color w:val="041B3B"/>
                <w:sz w:val="26"/>
                <w:szCs w:val="26"/>
              </w:rPr>
              <w:t xml:space="preserve">Operational note:  </w:t>
            </w:r>
            <w:r>
              <w:rPr>
                <w:rFonts w:ascii="Inter" w:cs="Inter" w:eastAsia="Inter" w:hAnsi="Inter"/>
                <w:b w:val="false"/>
                <w:bCs w:val="false"/>
                <w:i w:val="false"/>
                <w:iCs w:val="false"/>
                <w:caps w:val="false"/>
                <w:color w:val="16202B"/>
                <w:sz w:val="26"/>
                <w:szCs w:val="26"/>
              </w:rPr>
              <w:t xml:space="preserve">Rejecting invalid recordings before evaluation means out-of-range uploads consume no AI quota and no volunteer reviewer time, which directly supports the prototype cost model.</w:t>
            </w:r>
          </w:p>
        </w:tc>
      </w:tr>
    </w:tbl>
    <w:p>
      <w:pPr>
        <w:pStyle w:val="Heading1"/>
      </w:pPr>
      <w:r>
        <w:rPr>
          <w:rFonts w:ascii="Inter" w:cs="Inter" w:eastAsia="Inter" w:hAnsi="Inter"/>
          <w:b/>
          <w:bCs/>
          <w:i w:val="false"/>
          <w:iCs w:val="false"/>
          <w:caps w:val="false"/>
          <w:color w:val="041B3B"/>
          <w:sz w:val="40"/>
          <w:szCs w:val="40"/>
        </w:rPr>
        <w:t xml:space="preserve">3.  Submission Scoring Model</w:t>
      </w:r>
    </w:p>
    <w:p>
      <w:pPr>
        <w:pStyle w:val="Heading2"/>
      </w:pPr>
      <w:r>
        <w:rPr>
          <w:rFonts w:ascii="Inter" w:cs="Inter" w:eastAsia="Inter" w:hAnsi="Inter"/>
          <w:b/>
          <w:bCs/>
          <w:i w:val="false"/>
          <w:iCs w:val="false"/>
          <w:caps w:val="false"/>
          <w:color w:val="0A3D6E"/>
          <w:sz w:val="30"/>
          <w:szCs w:val="30"/>
        </w:rPr>
        <w:t xml:space="preserve">3.1  Score architecture</w:t>
      </w:r>
    </w:p>
    <w:p>
      <w:pPr>
        <w:spacing w:after="150" w:before="0" w:line="288"/>
      </w:pPr>
      <w:r>
        <w:rPr>
          <w:rFonts w:ascii="Inter" w:cs="Inter" w:eastAsia="Inter" w:hAnsi="Inter"/>
          <w:b w:val="false"/>
          <w:bCs w:val="false"/>
          <w:i w:val="false"/>
          <w:iCs w:val="false"/>
          <w:caps w:val="false"/>
          <w:color w:val="16202B"/>
          <w:sz w:val="26"/>
          <w:szCs w:val="26"/>
        </w:rPr>
        <w:t xml:space="preserve">Every completed submission receives a Submission Score from 0 to 100. The same score architecture applies to both AI and Human Evaluation.</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2860"/>
        <w:gridCol w:w="1420"/>
        <w:gridCol w:w="5580"/>
      </w:tblGrid>
      <w:tr>
        <w:trPr>
          <w:cantSplit/>
          <w:tblHeader/>
        </w:trPr>
        <w:tc>
          <w:tcPr>
            <w:tcW w:type="dxa" w:w="28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Component</w:t>
            </w:r>
          </w:p>
        </w:tc>
        <w:tc>
          <w:tcPr>
            <w:tcW w:type="dxa" w:w="142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Points</w:t>
            </w:r>
          </w:p>
        </w:tc>
        <w:tc>
          <w:tcPr>
            <w:tcW w:type="dxa" w:w="558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Purpose</w:t>
            </w:r>
          </w:p>
        </w:tc>
      </w:tr>
      <w:tr>
        <w:trPr>
          <w:cantSplit/>
        </w:trPr>
        <w:tc>
          <w:tcPr>
            <w:tcW w:type="dxa" w:w="28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Universal Delivery</w:t>
            </w:r>
          </w:p>
        </w:tc>
        <w:tc>
          <w:tcPr>
            <w:tcW w:type="dxa" w:w="142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40</w:t>
            </w:r>
          </w:p>
        </w:tc>
        <w:tc>
          <w:tcPr>
            <w:tcW w:type="dxa" w:w="558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Audible fluency, vocal control, physical presence, and camera-aware delivery.</w:t>
            </w:r>
          </w:p>
        </w:tc>
      </w:tr>
      <w:tr>
        <w:trPr>
          <w:cantSplit/>
        </w:trPr>
        <w:tc>
          <w:tcPr>
            <w:tcW w:type="dxa" w:w="28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Structural Flow</w:t>
            </w:r>
          </w:p>
        </w:tc>
        <w:tc>
          <w:tcPr>
            <w:tcW w:type="dxa" w:w="142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20</w:t>
            </w:r>
          </w:p>
        </w:tc>
        <w:tc>
          <w:tcPr>
            <w:tcW w:type="dxa" w:w="558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Opening strength, logical organisation, thesis clarity, and a track-appropriate ending.</w:t>
            </w:r>
          </w:p>
        </w:tc>
      </w:tr>
      <w:tr>
        <w:trPr>
          <w:cantSplit/>
        </w:trPr>
        <w:tc>
          <w:tcPr>
            <w:tcW w:type="dxa" w:w="28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Track Specialisation</w:t>
            </w:r>
          </w:p>
        </w:tc>
        <w:tc>
          <w:tcPr>
            <w:tcW w:type="dxa" w:w="142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40</w:t>
            </w:r>
          </w:p>
        </w:tc>
        <w:tc>
          <w:tcPr>
            <w:tcW w:type="dxa" w:w="558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Capabilities specific to the selected public speaking, presenting, or content creation track.</w:t>
            </w:r>
          </w:p>
        </w:tc>
      </w:tr>
      <w:tr>
        <w:trPr>
          <w:cantSplit/>
        </w:trPr>
        <w:tc>
          <w:tcPr>
            <w:tcW w:type="dxa" w:w="28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Total Submission Score</w:t>
            </w:r>
          </w:p>
        </w:tc>
        <w:tc>
          <w:tcPr>
            <w:tcW w:type="dxa" w:w="142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100</w:t>
            </w:r>
          </w:p>
        </w:tc>
        <w:tc>
          <w:tcPr>
            <w:tcW w:type="dxa" w:w="558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The score shown in the evaluation report and used as a rating input after approval.</w:t>
            </w:r>
          </w:p>
        </w:tc>
      </w:tr>
    </w:tbl>
    <w:p>
      <w:pPr>
        <w:spacing w:after="200"/>
      </w:pPr>
      <w:r>
        <w:rPr>
          <w:rFonts w:ascii="Inter" w:cs="Inter" w:eastAsia="Inter" w:hAnsi="Inter"/>
          <w:b w:val="false"/>
          <w:bCs w:val="false"/>
          <w:i w:val="false"/>
          <w:iCs w:val="false"/>
          <w:caps w:val="false"/>
          <w:color w:val="16202B"/>
          <w:sz w:val="26"/>
          <w:szCs w:val="26"/>
        </w:rPr>
        <w:t xml:space="preserve"/>
      </w:r>
    </w:p>
    <w:p>
      <w:pPr>
        <w:spacing w:after="150" w:before="0" w:line="288"/>
      </w:pPr>
      <w:r>
        <w:rPr>
          <w:rFonts w:ascii="Inter" w:cs="Inter" w:eastAsia="Inter" w:hAnsi="Inter"/>
          <w:b w:val="false"/>
          <w:bCs w:val="false"/>
          <w:i w:val="false"/>
          <w:iCs w:val="false"/>
          <w:caps w:val="false"/>
          <w:color w:val="16202B"/>
          <w:sz w:val="26"/>
          <w:szCs w:val="26"/>
        </w:rPr>
        <w:t xml:space="preserve">The first two components form the 60-point universal baseline. The remaining 40 points provide the specialisation that distinguishes Auratio from generic speaking feedback tools.</w:t>
      </w:r>
    </w:p>
    <w:p>
      <w:r>
        <w:br w:type="page"/>
      </w:r>
    </w:p>
    <w:p>
      <w:pPr>
        <w:pStyle w:val="Heading1"/>
      </w:pPr>
      <w:r>
        <w:rPr>
          <w:rFonts w:ascii="Inter" w:cs="Inter" w:eastAsia="Inter" w:hAnsi="Inter"/>
          <w:b/>
          <w:bCs/>
          <w:i w:val="false"/>
          <w:iCs w:val="false"/>
          <w:caps w:val="false"/>
          <w:color w:val="041B3B"/>
          <w:sz w:val="40"/>
          <w:szCs w:val="40"/>
        </w:rPr>
        <w:t xml:space="preserve">4.  Universal Rubric — 60 Points</w:t>
      </w:r>
    </w:p>
    <w:p>
      <w:pPr>
        <w:pStyle w:val="Heading2"/>
      </w:pPr>
      <w:r>
        <w:rPr>
          <w:rFonts w:ascii="Inter" w:cs="Inter" w:eastAsia="Inter" w:hAnsi="Inter"/>
          <w:b/>
          <w:bCs/>
          <w:i w:val="false"/>
          <w:iCs w:val="false"/>
          <w:caps w:val="false"/>
          <w:color w:val="0A3D6E"/>
          <w:sz w:val="30"/>
          <w:szCs w:val="30"/>
        </w:rPr>
        <w:t xml:space="preserve">4.1  Universal Delivery — 40 Points</w:t>
      </w:r>
    </w:p>
    <w:p>
      <w:pPr>
        <w:spacing w:after="140" w:before="0" w:line="288"/>
      </w:pPr>
      <w:r>
        <w:rPr>
          <w:rFonts w:ascii="Inter" w:cs="Inter" w:eastAsia="Inter" w:hAnsi="Inter"/>
          <w:b/>
          <w:bCs/>
          <w:i w:val="false"/>
          <w:iCs w:val="false"/>
          <w:caps w:val="false"/>
          <w:color w:val="041B3B"/>
          <w:sz w:val="26"/>
          <w:szCs w:val="26"/>
        </w:rPr>
        <w:t xml:space="preserve">Acoustics &amp; Fluency — 20 points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3080"/>
        <w:gridCol w:w="1420"/>
        <w:gridCol w:w="5360"/>
      </w:tblGrid>
      <w:tr>
        <w:trPr>
          <w:cantSplit/>
          <w:tblHeader/>
        </w:trPr>
        <w:tc>
          <w:tcPr>
            <w:tcW w:type="dxa" w:w="308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Criterion</w:t>
            </w:r>
          </w:p>
        </w:tc>
        <w:tc>
          <w:tcPr>
            <w:tcW w:type="dxa" w:w="142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Points</w:t>
            </w:r>
          </w:p>
        </w:tc>
        <w:tc>
          <w:tcPr>
            <w:tcW w:type="dxa" w:w="53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Observable Evidence</w:t>
            </w:r>
          </w:p>
        </w:tc>
      </w:tr>
      <w:tr>
        <w:trPr>
          <w:cantSplit/>
        </w:trPr>
        <w:tc>
          <w:tcPr>
            <w:tcW w:type="dxa" w:w="308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Pacing, WPM calibration, and pause placement</w:t>
            </w:r>
          </w:p>
        </w:tc>
        <w:tc>
          <w:tcPr>
            <w:tcW w:type="dxa" w:w="142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Rate supports comprehension; pauses feel intentional rather than accidental.</w:t>
            </w:r>
          </w:p>
        </w:tc>
      </w:tr>
      <w:tr>
        <w:trPr>
          <w:cantSplit/>
        </w:trPr>
        <w:tc>
          <w:tcPr>
            <w:tcW w:type="dxa" w:w="308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Tone, modulation, and energy</w:t>
            </w:r>
          </w:p>
        </w:tc>
        <w:tc>
          <w:tcPr>
            <w:tcW w:type="dxa" w:w="142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Vocal emphasis matches the message and sustains attention.</w:t>
            </w:r>
          </w:p>
        </w:tc>
      </w:tr>
      <w:tr>
        <w:trPr>
          <w:cantSplit/>
        </w:trPr>
        <w:tc>
          <w:tcPr>
            <w:tcW w:type="dxa" w:w="308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Vocal variety</w:t>
            </w:r>
          </w:p>
        </w:tc>
        <w:tc>
          <w:tcPr>
            <w:tcW w:type="dxa" w:w="142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Pitch, volume, and rhythm avoid monotony.</w:t>
            </w:r>
          </w:p>
        </w:tc>
      </w:tr>
      <w:tr>
        <w:trPr>
          <w:cantSplit/>
        </w:trPr>
        <w:tc>
          <w:tcPr>
            <w:tcW w:type="dxa" w:w="308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Filler-word and silence control</w:t>
            </w:r>
          </w:p>
        </w:tc>
        <w:tc>
          <w:tcPr>
            <w:tcW w:type="dxa" w:w="142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Fillers and unnatural silences do not interrupt credibility or flow.</w:t>
            </w:r>
          </w:p>
        </w:tc>
      </w:tr>
    </w:tbl>
    <w:p>
      <w:pPr>
        <w:spacing w:after="220"/>
      </w:pPr>
      <w:r>
        <w:rPr>
          <w:rFonts w:ascii="Inter" w:cs="Inter" w:eastAsia="Inter" w:hAnsi="Inter"/>
          <w:b w:val="false"/>
          <w:bCs w:val="false"/>
          <w:i w:val="false"/>
          <w:iCs w:val="false"/>
          <w:caps w:val="false"/>
          <w:color w:val="16202B"/>
          <w:sz w:val="26"/>
          <w:szCs w:val="26"/>
        </w:rPr>
        <w:t xml:space="preserve"/>
      </w:r>
    </w:p>
    <w:p>
      <w:pPr>
        <w:spacing w:after="140" w:before="0" w:line="288"/>
      </w:pPr>
      <w:r>
        <w:rPr>
          <w:rFonts w:ascii="Inter" w:cs="Inter" w:eastAsia="Inter" w:hAnsi="Inter"/>
          <w:b/>
          <w:bCs/>
          <w:i w:val="false"/>
          <w:iCs w:val="false"/>
          <w:caps w:val="false"/>
          <w:color w:val="041B3B"/>
          <w:sz w:val="26"/>
          <w:szCs w:val="26"/>
        </w:rPr>
        <w:t xml:space="preserve">Physical Presence — 20 points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3080"/>
        <w:gridCol w:w="1420"/>
        <w:gridCol w:w="5360"/>
      </w:tblGrid>
      <w:tr>
        <w:trPr>
          <w:cantSplit/>
          <w:tblHeader/>
        </w:trPr>
        <w:tc>
          <w:tcPr>
            <w:tcW w:type="dxa" w:w="308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Criterion</w:t>
            </w:r>
          </w:p>
        </w:tc>
        <w:tc>
          <w:tcPr>
            <w:tcW w:type="dxa" w:w="142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Points</w:t>
            </w:r>
          </w:p>
        </w:tc>
        <w:tc>
          <w:tcPr>
            <w:tcW w:type="dxa" w:w="53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Observable Evidence</w:t>
            </w:r>
          </w:p>
        </w:tc>
      </w:tr>
      <w:tr>
        <w:trPr>
          <w:cantSplit/>
        </w:trPr>
        <w:tc>
          <w:tcPr>
            <w:tcW w:type="dxa" w:w="308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Eye contact and gaze stability</w:t>
            </w:r>
          </w:p>
        </w:tc>
        <w:tc>
          <w:tcPr>
            <w:tcW w:type="dxa" w:w="142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Gaze is directed appropriately at the camera or audience.</w:t>
            </w:r>
          </w:p>
        </w:tc>
      </w:tr>
      <w:tr>
        <w:trPr>
          <w:cantSplit/>
        </w:trPr>
        <w:tc>
          <w:tcPr>
            <w:tcW w:type="dxa" w:w="308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Posture and body positioning</w:t>
            </w:r>
          </w:p>
        </w:tc>
        <w:tc>
          <w:tcPr>
            <w:tcW w:type="dxa" w:w="142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Posture is stable, open, and appropriate to the format.</w:t>
            </w:r>
          </w:p>
        </w:tc>
      </w:tr>
      <w:tr>
        <w:trPr>
          <w:cantSplit/>
        </w:trPr>
        <w:tc>
          <w:tcPr>
            <w:tcW w:type="dxa" w:w="308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Purposeful gestures</w:t>
            </w:r>
          </w:p>
        </w:tc>
        <w:tc>
          <w:tcPr>
            <w:tcW w:type="dxa" w:w="142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Gestures reinforce verbal emphasis without becoming distracting.</w:t>
            </w:r>
          </w:p>
        </w:tc>
      </w:tr>
      <w:tr>
        <w:trPr>
          <w:cantSplit/>
        </w:trPr>
        <w:tc>
          <w:tcPr>
            <w:tcW w:type="dxa" w:w="308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Framing and movement control</w:t>
            </w:r>
          </w:p>
        </w:tc>
        <w:tc>
          <w:tcPr>
            <w:tcW w:type="dxa" w:w="142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The speaker remains visible and uses movement deliberately within the recording.</w:t>
            </w:r>
          </w:p>
        </w:tc>
      </w:tr>
    </w:tbl>
    <w:p>
      <w:pPr>
        <w:spacing w:after="24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4.2  Structural Flow — 20 Points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3080"/>
        <w:gridCol w:w="1420"/>
        <w:gridCol w:w="5360"/>
      </w:tblGrid>
      <w:tr>
        <w:trPr>
          <w:cantSplit/>
          <w:tblHeader/>
        </w:trPr>
        <w:tc>
          <w:tcPr>
            <w:tcW w:type="dxa" w:w="308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Criterion</w:t>
            </w:r>
          </w:p>
        </w:tc>
        <w:tc>
          <w:tcPr>
            <w:tcW w:type="dxa" w:w="142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Points</w:t>
            </w:r>
          </w:p>
        </w:tc>
        <w:tc>
          <w:tcPr>
            <w:tcW w:type="dxa" w:w="53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Evaluation Standard</w:t>
            </w:r>
          </w:p>
        </w:tc>
      </w:tr>
      <w:tr>
        <w:trPr>
          <w:cantSplit/>
        </w:trPr>
        <w:tc>
          <w:tcPr>
            <w:tcW w:type="dxa" w:w="308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Hook strength</w:t>
            </w:r>
          </w:p>
        </w:tc>
        <w:tc>
          <w:tcPr>
            <w:tcW w:type="dxa" w:w="142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first 3–5 seconds establish relevance and encourage continued attention.</w:t>
            </w:r>
          </w:p>
        </w:tc>
      </w:tr>
      <w:tr>
        <w:trPr>
          <w:cantSplit/>
        </w:trPr>
        <w:tc>
          <w:tcPr>
            <w:tcW w:type="dxa" w:w="308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Logical transitions</w:t>
            </w:r>
          </w:p>
        </w:tc>
        <w:tc>
          <w:tcPr>
            <w:tcW w:type="dxa" w:w="142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Ideas progress in a clear sequence with useful signposting.</w:t>
            </w:r>
          </w:p>
        </w:tc>
      </w:tr>
      <w:tr>
        <w:trPr>
          <w:cantSplit/>
        </w:trPr>
        <w:tc>
          <w:tcPr>
            <w:tcW w:type="dxa" w:w="308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Central thesis clarity</w:t>
            </w:r>
          </w:p>
        </w:tc>
        <w:tc>
          <w:tcPr>
            <w:tcW w:type="dxa" w:w="142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audience can identify the central message without ambiguity.</w:t>
            </w:r>
          </w:p>
        </w:tc>
      </w:tr>
      <w:tr>
        <w:trPr>
          <w:cantSplit/>
        </w:trPr>
        <w:tc>
          <w:tcPr>
            <w:tcW w:type="dxa" w:w="308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Track-appropriate conclusion</w:t>
            </w:r>
          </w:p>
        </w:tc>
        <w:tc>
          <w:tcPr>
            <w:tcW w:type="dxa" w:w="142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5</w:t>
            </w:r>
          </w:p>
        </w:tc>
        <w:tc>
          <w:tcPr>
            <w:tcW w:type="dxa" w:w="53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The ending supplies a clear takeaway, decision, next step, or CTA where appropriate to the track.</w:t>
            </w:r>
          </w:p>
        </w:tc>
      </w:tr>
    </w:tbl>
    <w:p>
      <w:pPr>
        <w:spacing w:after="200"/>
      </w:pPr>
      <w:r>
        <w:rPr>
          <w:rFonts w:ascii="Inter" w:cs="Inter" w:eastAsia="Inter" w:hAnsi="Inter"/>
          <w:b w:val="false"/>
          <w:bCs w:val="false"/>
          <w:i w:val="false"/>
          <w:iCs w:val="false"/>
          <w:caps w:val="false"/>
          <w:color w:val="16202B"/>
          <w:sz w:val="26"/>
          <w:szCs w:val="26"/>
        </w:rPr>
        <w:t xml:space="preserve"/>
      </w:r>
    </w:p>
    <w:tbl>
      <w:tblPr>
        <w:tblW w:type="dxa" w:w="9860"/>
        <w:tblBorders>
          <w:top w:val="single" w:color="53A6E6" w:sz="2"/>
          <w:left w:val="single" w:color="53A6E6" w:sz="18"/>
          <w:bottom w:val="single" w:color="53A6E6" w:sz="2"/>
          <w:right w:val="single" w:color="53A6E6" w:sz="2"/>
          <w:insideH w:val="none" w:color="FFFFFF" w:sz="0"/>
          <w:insideV w:val="none" w:color="FFFFFF" w:sz="0"/>
        </w:tblBorders>
      </w:tblPr>
      <w:tblGrid>
        <w:gridCol w:w="9860"/>
      </w:tblGrid>
      <w:tr>
        <w:tc>
          <w:tcPr>
            <w:tcW w:type="dxa" w:w="9860"/>
            <w:shd w:fill="EAF2FB" w:color="auto" w:val="clear"/>
            <w:tcMar>
              <w:top w:type="dxa" w:w="150"/>
              <w:left w:type="dxa" w:w="200"/>
              <w:bottom w:type="dxa" w:w="150"/>
              <w:right w:type="dxa" w:w="180"/>
            </w:tcMar>
          </w:tcPr>
          <w:p>
            <w:pPr>
              <w:spacing w:after="0" w:line="288"/>
            </w:pPr>
            <w:r>
              <w:rPr>
                <w:rFonts w:ascii="Inter" w:cs="Inter" w:eastAsia="Inter" w:hAnsi="Inter"/>
                <w:b/>
                <w:bCs/>
                <w:i w:val="false"/>
                <w:iCs w:val="false"/>
                <w:caps w:val="false"/>
                <w:color w:val="041B3B"/>
                <w:sz w:val="26"/>
                <w:szCs w:val="26"/>
              </w:rPr>
              <w:t xml:space="preserve">CTA clarification:  </w:t>
            </w:r>
            <w:r>
              <w:rPr>
                <w:rFonts w:ascii="Inter" w:cs="Inter" w:eastAsia="Inter" w:hAnsi="Inter"/>
                <w:b w:val="false"/>
                <w:bCs w:val="false"/>
                <w:i w:val="false"/>
                <w:iCs w:val="false"/>
                <w:caps w:val="false"/>
                <w:color w:val="16202B"/>
                <w:sz w:val="26"/>
                <w:szCs w:val="26"/>
              </w:rPr>
              <w:t xml:space="preserve">A persuasive or marketing submission may require an explicit call to action. Informative, news, academic, and explanatory submissions may instead end with an objective summary, learning takeaway, or decision point.</w:t>
            </w:r>
          </w:p>
        </w:tc>
      </w:tr>
    </w:tbl>
    <w:p>
      <w:r>
        <w:br w:type="page"/>
      </w:r>
    </w:p>
    <w:p>
      <w:pPr>
        <w:pStyle w:val="Heading1"/>
      </w:pPr>
      <w:r>
        <w:rPr>
          <w:rFonts w:ascii="Inter" w:cs="Inter" w:eastAsia="Inter" w:hAnsi="Inter"/>
          <w:b/>
          <w:bCs/>
          <w:i w:val="false"/>
          <w:iCs w:val="false"/>
          <w:caps w:val="false"/>
          <w:color w:val="041B3B"/>
          <w:sz w:val="40"/>
          <w:szCs w:val="40"/>
        </w:rPr>
        <w:t xml:space="preserve">5.  Track-Specific Rubrics — 40 Points</w:t>
      </w:r>
    </w:p>
    <w:p>
      <w:pPr>
        <w:spacing w:after="150" w:before="0" w:line="288"/>
      </w:pPr>
      <w:r>
        <w:rPr>
          <w:rFonts w:ascii="Inter" w:cs="Inter" w:eastAsia="Inter" w:hAnsi="Inter"/>
          <w:b w:val="false"/>
          <w:bCs w:val="false"/>
          <w:i w:val="false"/>
          <w:iCs w:val="false"/>
          <w:caps w:val="false"/>
          <w:color w:val="16202B"/>
          <w:sz w:val="26"/>
          <w:szCs w:val="26"/>
        </w:rPr>
        <w:t>Each track has four weighted criteria worth 10 points each. Every criterion has criterion-specific Low / Competent / Excellent qualitative anchors used as reference points while all valid intermediate numeric values remain available. Human evaluators must select an anchor before the exact numeric score. For every criterion, evaluation data must include anchor, exact score, timestamped evidence, strength, weakness, and actionable improvement advice; each evaluation also includes an Overall Summary.</w:t>
      </w:r>
    </w:p>
    <w:p>
      <w:pPr>
        <w:pStyle w:val="Heading2"/>
      </w:pPr>
      <w:r>
        <w:rPr>
          <w:rFonts w:ascii="Inter" w:cs="Inter" w:eastAsia="Inter" w:hAnsi="Inter"/>
          <w:b/>
          <w:bCs/>
          <w:i w:val="false"/>
          <w:iCs w:val="false"/>
          <w:caps w:val="false"/>
          <w:color w:val="0A3D6E"/>
          <w:sz w:val="30"/>
          <w:szCs w:val="30"/>
        </w:rPr>
        <w:t xml:space="preserve">5.1  Public Speaking Formats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2560"/>
        <w:gridCol w:w="7300"/>
      </w:tblGrid>
      <w:tr>
        <w:trPr>
          <w:cantSplit/>
          <w:tblHeader/>
        </w:trPr>
        <w:tc>
          <w:tcPr>
            <w:tcW w:type="dxa" w:w="25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Track</w:t>
            </w:r>
          </w:p>
        </w:tc>
        <w:tc>
          <w:tcPr>
            <w:tcW w:type="dxa" w:w="73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Four criteria — 10 points each</w:t>
            </w:r>
          </w:p>
        </w:tc>
      </w:tr>
      <w:tr>
        <w:trPr>
          <w:cantSplit/>
        </w:trPr>
        <w:tc>
          <w:tcPr>
            <w:tcW w:type="dxa" w:w="25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Informative</w:t>
            </w:r>
          </w:p>
        </w:tc>
        <w:tc>
          <w:tcPr>
            <w:tcW w:type="dxa" w:w="73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Objective clarity  ·  Audience comprehension  ·  Neutrality and factual accuracy  ·  Complex concept breakdown</w:t>
            </w:r>
          </w:p>
        </w:tc>
      </w:tr>
      <w:tr>
        <w:trPr>
          <w:cantSplit/>
        </w:trPr>
        <w:tc>
          <w:tcPr>
            <w:tcW w:type="dxa" w:w="25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Extempore</w:t>
            </w:r>
          </w:p>
        </w:tc>
        <w:tc>
          <w:tcPr>
            <w:tcW w:type="dxa" w:w="73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Rapid time-to-thesis  ·  Spontaneous structure  ·  Narrative continuity  ·  Composure and hesitation control</w:t>
            </w:r>
          </w:p>
        </w:tc>
      </w:tr>
      <w:tr>
        <w:trPr>
          <w:cantSplit/>
        </w:trPr>
        <w:tc>
          <w:tcPr>
            <w:tcW w:type="dxa" w:w="25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Persuasive</w:t>
            </w:r>
          </w:p>
        </w:tc>
        <w:tc>
          <w:tcPr>
            <w:tcW w:type="dxa" w:w="7300"/>
            <w:tcMar>
              <w:top w:type="dxa" w:w="100"/>
              <w:left w:type="dxa" w:w="140"/>
              <w:bottom w:type="dxa" w:w="100"/>
              <w:right w:type="dxa" w:w="140"/>
            </w:tcMar>
            <w:vAlign w:val="top"/>
          </w:tcPr>
          <w:p>
            <w:r>
              <w:t>Ethos, Pathos, and Logos balance  ·  Audience emotional resonance  ·  Urgency and conviction  ·  Objection anticipation and resistance handling</w:t>
            </w:r>
          </w:p>
        </w:tc>
      </w:tr>
      <w:tr>
        <w:trPr>
          <w:cantSplit/>
        </w:trPr>
        <w:tc>
          <w:tcPr>
            <w:tcW w:type="dxa" w:w="25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Argumentative / Debate</w:t>
            </w:r>
          </w:p>
        </w:tc>
        <w:tc>
          <w:tcPr>
            <w:tcW w:type="dxa" w:w="73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Premise-claim alignment  ·  Evidence rigour  ·  Logical validity and signposting  ·  Counterarguments and rebuttals</w:t>
            </w:r>
          </w:p>
        </w:tc>
      </w:tr>
      <w:tr>
        <w:trPr>
          <w:cantSplit/>
        </w:trPr>
        <w:tc>
          <w:tcPr>
            <w:tcW w:type="dxa" w:w="256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Explanatory</w:t>
            </w:r>
          </w:p>
        </w:tc>
        <w:tc>
          <w:tcPr>
            <w:tcW w:type="dxa" w:w="730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Pedagogical simplification  ·  Analogies and mental models  ·  Jargon control  ·  Step-by-step deconstruction</w:t>
            </w:r>
          </w:p>
        </w:tc>
      </w:tr>
    </w:tbl>
    <w:p>
      <w:pPr>
        <w:spacing w:after="22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5.2  Professional Presenting Modes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2560"/>
        <w:gridCol w:w="7300"/>
      </w:tblGrid>
      <w:tr>
        <w:trPr>
          <w:cantSplit/>
          <w:tblHeader/>
        </w:trPr>
        <w:tc>
          <w:tcPr>
            <w:tcW w:type="dxa" w:w="25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Track</w:t>
            </w:r>
          </w:p>
        </w:tc>
        <w:tc>
          <w:tcPr>
            <w:tcW w:type="dxa" w:w="73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Four criteria — 10 points each</w:t>
            </w:r>
          </w:p>
        </w:tc>
      </w:tr>
      <w:tr>
        <w:trPr>
          <w:cantSplit/>
        </w:trPr>
        <w:tc>
          <w:tcPr>
            <w:tcW w:type="dxa" w:w="25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News Delivery</w:t>
            </w:r>
          </w:p>
        </w:tc>
        <w:tc>
          <w:tcPr>
            <w:tcW w:type="dxa" w:w="73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Teleprompter-style cadence  ·  Objective authoritative tone  ·  Headline-shift signposting  ·  Accuracy and composure</w:t>
            </w:r>
          </w:p>
        </w:tc>
      </w:tr>
      <w:tr>
        <w:trPr>
          <w:cantSplit/>
        </w:trPr>
        <w:tc>
          <w:tcPr>
            <w:tcW w:type="dxa" w:w="25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Business Pitch / Sales Pitch</w:t>
            </w:r>
          </w:p>
        </w:tc>
        <w:tc>
          <w:tcPr>
            <w:tcW w:type="dxa" w:w="7300"/>
            <w:shd w:fill="F4F8FC" w:color="auto" w:val="clear"/>
            <w:tcMar>
              <w:top w:type="dxa" w:w="100"/>
              <w:left w:type="dxa" w:w="140"/>
              <w:bottom w:type="dxa" w:w="100"/>
              <w:right w:type="dxa" w:w="140"/>
            </w:tcMar>
            <w:vAlign w:val="top"/>
          </w:tcPr>
          <w:p>
            <w:r>
              <w:t>Problem-solution fit  ·  Value proposition clarity  ·  Traction and investor appeal  ·  Competitive differentiation</w:t>
            </w:r>
          </w:p>
        </w:tc>
      </w:tr>
      <w:tr>
        <w:trPr>
          <w:cantSplit/>
        </w:trPr>
        <w:tc>
          <w:tcPr>
            <w:tcW w:type="dxa" w:w="25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General Presentation / Multimedia</w:t>
            </w:r>
          </w:p>
        </w:tc>
        <w:tc>
          <w:tcPr>
            <w:tcW w:type="dxa" w:w="73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Slide-to-speech synchronisation  ·  Narrative continuity across media  ·  Visual support without reading  ·  Media pacing and accessibility</w:t>
            </w:r>
          </w:p>
        </w:tc>
      </w:tr>
      <w:tr>
        <w:trPr>
          <w:cantSplit/>
        </w:trPr>
        <w:tc>
          <w:tcPr>
            <w:tcW w:type="dxa" w:w="25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Academic — Poster / Project / Thesis</w:t>
            </w:r>
          </w:p>
        </w:tc>
        <w:tc>
          <w:tcPr>
            <w:tcW w:type="dxa" w:w="73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Specialised terminology precision  ·  Methodology defensibility  ·  Citation and evidence rigour  ·  Findings and claim support</w:t>
            </w:r>
          </w:p>
        </w:tc>
      </w:tr>
      <w:tr>
        <w:trPr>
          <w:cantSplit/>
        </w:trPr>
        <w:tc>
          <w:tcPr>
            <w:tcW w:type="dxa" w:w="256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Corporate Report</w:t>
            </w:r>
          </w:p>
        </w:tc>
        <w:tc>
          <w:tcPr>
            <w:tcW w:type="dxa" w:w="730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Bottom-Line Up Front orientation  ·  Complex data translation  ·  Actionable business insight  ·  Decision-oriented recommendation</w:t>
            </w:r>
          </w:p>
        </w:tc>
      </w:tr>
    </w:tbl>
    <w:p>
      <w:pPr>
        <w:spacing w:after="22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5.3  Content Creation Niches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2560"/>
        <w:gridCol w:w="7300"/>
      </w:tblGrid>
      <w:tr>
        <w:trPr>
          <w:cantSplit/>
          <w:tblHeader/>
        </w:trPr>
        <w:tc>
          <w:tcPr>
            <w:tcW w:type="dxa" w:w="25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Track</w:t>
            </w:r>
          </w:p>
        </w:tc>
        <w:tc>
          <w:tcPr>
            <w:tcW w:type="dxa" w:w="73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Four criteria — 10 points each</w:t>
            </w:r>
          </w:p>
        </w:tc>
      </w:tr>
      <w:tr>
        <w:trPr>
          <w:cantSplit/>
        </w:trPr>
        <w:tc>
          <w:tcPr>
            <w:tcW w:type="dxa" w:w="256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Infotainment-Oriented</w:t>
            </w:r>
          </w:p>
        </w:tc>
        <w:tc>
          <w:tcPr>
            <w:tcW w:type="dxa" w:w="7300"/>
            <w:tcMar>
              <w:top w:type="dxa" w:w="100"/>
              <w:left w:type="dxa" w:w="140"/>
              <w:bottom w:type="dxa" w:w="100"/>
              <w:right w:type="dxa" w:w="140"/>
            </w:tcMar>
            <w:vAlign w:val="top"/>
          </w:tcPr>
          <w:p>
            <w:r>
              <w:t>Information-entertainment balance  ·  Fast-paced narrative progression  ·  Engagement triggers  ·  Personality and visual energy</w:t>
            </w:r>
          </w:p>
        </w:tc>
      </w:tr>
      <w:tr>
        <w:trPr>
          <w:cantSplit/>
        </w:trPr>
        <w:tc>
          <w:tcPr>
            <w:tcW w:type="dxa" w:w="25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Academic — Lecture / Course</w:t>
            </w:r>
          </w:p>
        </w:tc>
        <w:tc>
          <w:tcPr>
            <w:tcW w:type="dxa" w:w="73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Structured learning outcomes  ·  Instructional sequence  ·  Concept check-in pacing  ·  Instructional takeaway clarity</w:t>
            </w:r>
          </w:p>
        </w:tc>
      </w:tr>
      <w:tr>
        <w:trPr>
          <w:cantSplit/>
        </w:trPr>
        <w:tc>
          <w:tcPr>
            <w:tcW w:type="dxa" w:w="256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Marketing / Promotional</w:t>
            </w:r>
          </w:p>
        </w:tc>
        <w:tc>
          <w:tcPr>
            <w:tcW w:type="dxa" w:w="7300"/>
            <w:tcMar>
              <w:top w:type="dxa" w:w="100"/>
              <w:left w:type="dxa" w:w="140"/>
              <w:bottom w:type="dxa" w:w="100"/>
              <w:right w:type="dxa" w:w="140"/>
            </w:tcMar>
            <w:vAlign w:val="top"/>
          </w:tcPr>
          <w:p>
            <w:r>
              <w:t>Audience pain-point positioning  ·  Product or service payoff clarity  ·  Conversion drivers  ·  Brand-message alignment</w:t>
            </w:r>
          </w:p>
        </w:tc>
      </w:tr>
    </w:tbl>
    <w:p>
      <w:pPr>
        <w:pStyle w:val="Heading1"/>
      </w:pPr>
      <w:r>
        <w:rPr>
          <w:rFonts w:ascii="Inter" w:cs="Inter" w:eastAsia="Inter" w:hAnsi="Inter"/>
          <w:b/>
          <w:bCs/>
          <w:i w:val="false"/>
          <w:iCs w:val="false"/>
          <w:caps w:val="false"/>
          <w:color w:val="041B3B"/>
          <w:sz w:val="40"/>
          <w:szCs w:val="40"/>
        </w:rPr>
        <w:t xml:space="preserve">6.  Dual-Mode Leaderboard Structure</w:t>
      </w:r>
    </w:p>
    <w:p>
      <w:pPr>
        <w:pStyle w:val="Heading2"/>
      </w:pPr>
      <w:r>
        <w:rPr>
          <w:rFonts w:ascii="Inter" w:cs="Inter" w:eastAsia="Inter" w:hAnsi="Inter"/>
          <w:b/>
          <w:bCs/>
          <w:i w:val="false"/>
          <w:iCs w:val="false"/>
          <w:caps w:val="false"/>
          <w:color w:val="0A3D6E"/>
          <w:sz w:val="30"/>
          <w:szCs w:val="30"/>
        </w:rPr>
        <w:t xml:space="preserve">6.1  Separation rules</w:t>
      </w:r>
    </w:p>
    <w:p>
      <w:pPr>
        <w:spacing w:after="150" w:before="0" w:line="288"/>
      </w:pPr>
      <w:r>
        <w:rPr>
          <w:rFonts w:ascii="Inter" w:cs="Inter" w:eastAsia="Inter" w:hAnsi="Inter"/>
          <w:b w:val="false"/>
          <w:bCs w:val="false"/>
          <w:i w:val="false"/>
          <w:iCs w:val="false"/>
          <w:caps w:val="false"/>
          <w:color w:val="16202B"/>
          <w:sz w:val="26"/>
          <w:szCs w:val="26"/>
        </w:rPr>
        <w:t xml:space="preserve">Each of the 13 track pages contains two leaderboard views selected through a toggle: AI Evaluation and Human Evaluation. The toggle changes the displayed ranking only; it does not convert or blend scores.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2700"/>
        <w:gridCol w:w="7160"/>
      </w:tblGrid>
      <w:tr>
        <w:trPr>
          <w:cantSplit/>
          <w:tblHeader/>
        </w:trPr>
        <w:tc>
          <w:tcPr>
            <w:tcW w:type="dxa" w:w="27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Rule</w:t>
            </w:r>
          </w:p>
        </w:tc>
        <w:tc>
          <w:tcPr>
            <w:tcW w:type="dxa" w:w="71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Specification</w:t>
            </w:r>
          </w:p>
        </w:tc>
      </w:tr>
      <w:tr>
        <w:trPr>
          <w:cantSplit/>
        </w:trPr>
        <w:tc>
          <w:tcPr>
            <w:tcW w:type="dxa" w:w="27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Leaderboard identity</w:t>
            </w:r>
          </w:p>
        </w:tc>
        <w:tc>
          <w:tcPr>
            <w:tcW w:type="dxa" w:w="71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 ranking is uniquely scoped by user, track, evaluation mode, and time period.</w:t>
            </w:r>
          </w:p>
        </w:tc>
      </w:tr>
      <w:tr>
        <w:trPr>
          <w:cantSplit/>
        </w:trPr>
        <w:tc>
          <w:tcPr>
            <w:tcW w:type="dxa" w:w="27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AI leaderboard</w:t>
            </w:r>
          </w:p>
        </w:tc>
        <w:tc>
          <w:tcPr>
            <w:tcW w:type="dxa" w:w="71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Uses only approved AI-generated scores. Model and prompt versions must be logged.</w:t>
            </w:r>
          </w:p>
        </w:tc>
      </w:tr>
      <w:tr>
        <w:trPr>
          <w:cantSplit/>
        </w:trPr>
        <w:tc>
          <w:tcPr>
            <w:tcW w:type="dxa" w:w="27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Human leaderboard</w:t>
            </w:r>
          </w:p>
        </w:tc>
        <w:tc>
          <w:tcPr>
            <w:tcW w:type="dxa" w:w="71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Uses only approved scores submitted by authorised human evaluators.</w:t>
            </w:r>
          </w:p>
        </w:tc>
      </w:tr>
      <w:tr>
        <w:trPr>
          <w:cantSplit/>
        </w:trPr>
        <w:tc>
          <w:tcPr>
            <w:tcW w:type="dxa" w:w="27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No cross-mode transfer</w:t>
            </w:r>
          </w:p>
        </w:tc>
        <w:tc>
          <w:tcPr>
            <w:tcW w:type="dxa" w:w="71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An AI score cannot qualify a user for a Human leaderboard, and vice versa.</w:t>
            </w:r>
          </w:p>
        </w:tc>
      </w:tr>
      <w:tr>
        <w:trPr>
          <w:cantSplit/>
        </w:trPr>
        <w:tc>
          <w:tcPr>
            <w:tcW w:type="dxa" w:w="27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Redirection</w:t>
            </w:r>
          </w:p>
        </w:tc>
        <w:tc>
          <w:tcPr>
            <w:tcW w:type="dxa" w:w="71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A request may be redirected to the alternate evaluation method only after explicit end-user consent. If accepted, only the final method used receives the score and leaderboard effect. If declined, the evaluation request/session is cancelled and produces no score or ranking effect.</w:t>
            </w:r>
          </w:p>
        </w:tc>
      </w:tr>
      <w:tr>
        <w:trPr>
          <w:cantSplit/>
        </w:trPr>
        <w:tc>
          <w:tcPr>
            <w:tcW w:type="dxa" w:w="27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Private progress</w:t>
            </w:r>
          </w:p>
        </w:tc>
        <w:tc>
          <w:tcPr>
            <w:tcW w:type="dxa" w:w="7160"/>
            <w:shd w:fill="F4F8FC" w:color="auto" w:val="clear"/>
            <w:tcMar>
              <w:top w:type="dxa" w:w="100"/>
              <w:left w:type="dxa" w:w="140"/>
              <w:bottom w:type="dxa" w:w="100"/>
              <w:right w:type="dxa" w:w="140"/>
            </w:tcMar>
            <w:vAlign w:val="top"/>
          </w:tcPr>
          <w:p>
            <w:pPr>
              <w:keepNext w:val="false"/>
              <w:spacing w:after="0" w:line="276"/>
            </w:pPr>
            <w:r>
              <w:t>Private mastery may combine Approved AI and Human results using the locked private formulas, while public leaderboards remain mode-separated. Track Mastery = mean of all Approved scores in the track; Overall Auratio Mastery = mean of represented Track Mastery values.</w:t>
            </w:r>
          </w:p>
        </w:tc>
      </w:tr>
    </w:tbl>
    <w:p>
      <w:pPr>
        <w:spacing w:after="200"/>
      </w:pPr>
      <w:r>
        <w:rPr>
          <w:rFonts w:ascii="Inter" w:cs="Inter" w:eastAsia="Inter" w:hAnsi="Inter"/>
          <w:b w:val="false"/>
          <w:bCs w:val="false"/>
          <w:i w:val="false"/>
          <w:iCs w:val="false"/>
          <w:caps w:val="false"/>
          <w:color w:val="16202B"/>
          <w:sz w:val="26"/>
          <w:szCs w:val="26"/>
        </w:rPr>
        <w:t xml:space="preserve"/>
      </w:r>
    </w:p>
    <w:tbl>
      <w:tblPr>
        <w:tblW w:type="dxa" w:w="9860"/>
        <w:tblBorders>
          <w:top w:val="single" w:color="53A6E6" w:sz="2"/>
          <w:left w:val="single" w:color="53A6E6" w:sz="18"/>
          <w:bottom w:val="single" w:color="53A6E6" w:sz="2"/>
          <w:right w:val="single" w:color="53A6E6" w:sz="2"/>
          <w:insideH w:val="none" w:color="FFFFFF" w:sz="0"/>
          <w:insideV w:val="none" w:color="FFFFFF" w:sz="0"/>
        </w:tblBorders>
      </w:tblPr>
      <w:tblGrid>
        <w:gridCol w:w="9860"/>
      </w:tblGrid>
      <w:tr>
        <w:tc>
          <w:tcPr>
            <w:tcW w:type="dxa" w:w="9860"/>
            <w:shd w:fill="EAF2FB" w:color="auto" w:val="clear"/>
            <w:tcMar>
              <w:top w:type="dxa" w:w="150"/>
              <w:left w:type="dxa" w:w="200"/>
              <w:bottom w:type="dxa" w:w="150"/>
              <w:right w:type="dxa" w:w="180"/>
            </w:tcMar>
          </w:tcPr>
          <w:p>
            <w:pPr>
              <w:spacing w:after="0" w:line="288"/>
            </w:pPr>
            <w:r>
              <w:rPr>
                <w:rFonts w:ascii="Inter" w:cs="Inter" w:eastAsia="Inter" w:hAnsi="Inter"/>
                <w:b/>
                <w:bCs/>
                <w:i w:val="false"/>
                <w:iCs w:val="false"/>
                <w:caps w:val="false"/>
                <w:color w:val="041B3B"/>
                <w:sz w:val="26"/>
                <w:szCs w:val="26"/>
              </w:rPr>
              <w:t xml:space="preserve">Why this is necessary:  </w:t>
            </w:r>
            <w:r>
              <w:rPr>
                <w:rFonts w:ascii="Inter" w:cs="Inter" w:eastAsia="Inter" w:hAnsi="Inter"/>
                <w:b w:val="false"/>
                <w:bCs w:val="false"/>
                <w:i w:val="false"/>
                <w:iCs w:val="false"/>
                <w:caps w:val="false"/>
                <w:color w:val="16202B"/>
                <w:sz w:val="26"/>
                <w:szCs w:val="26"/>
              </w:rPr>
              <w:t xml:space="preserve">AI and human evaluators may differ systematically even when using the same rubric. Separating the two ranking pools removes that comparability risk without removing either evaluation option.</w:t>
            </w:r>
          </w:p>
        </w:tc>
      </w:tr>
    </w:tbl>
    <w:p>
      <w:pPr>
        <w:pStyle w:val="Heading1"/>
      </w:pPr>
      <w:r>
        <w:rPr>
          <w:rFonts w:ascii="Inter" w:cs="Inter" w:eastAsia="Inter" w:hAnsi="Inter"/>
          <w:b/>
          <w:bCs/>
          <w:i w:val="false"/>
          <w:iCs w:val="false"/>
          <w:caps w:val="false"/>
          <w:color w:val="041B3B"/>
          <w:sz w:val="40"/>
          <w:szCs w:val="40"/>
        </w:rPr>
        <w:t xml:space="preserve">7.  Auratio Leaderboard Rating (ALR)</w:t>
      </w:r>
    </w:p>
    <w:p>
      <w:pPr>
        <w:pStyle w:val="Heading2"/>
      </w:pPr>
      <w:r>
        <w:rPr>
          <w:rFonts w:ascii="Inter" w:cs="Inter" w:eastAsia="Inter" w:hAnsi="Inter"/>
          <w:b/>
          <w:bCs/>
          <w:i w:val="false"/>
          <w:iCs w:val="false"/>
          <w:caps w:val="false"/>
          <w:color w:val="0A3D6E"/>
          <w:sz w:val="30"/>
          <w:szCs w:val="30"/>
        </w:rPr>
        <w:t xml:space="preserve">7.1  Rating formula</w:t>
      </w:r>
    </w:p>
    <w:p>
      <w:pPr>
        <w:spacing w:after="150" w:before="0" w:line="288"/>
      </w:pPr>
      <w:r>
        <w:rPr>
          <w:rFonts w:ascii="Inter" w:cs="Inter" w:eastAsia="Inter" w:hAnsi="Inter"/>
          <w:b w:val="false"/>
          <w:bCs w:val="false"/>
          <w:i w:val="false"/>
          <w:iCs w:val="false"/>
          <w:caps w:val="false"/>
          <w:color w:val="16202B"/>
          <w:sz w:val="26"/>
          <w:szCs w:val="26"/>
        </w:rPr>
        <w:t xml:space="preserve">ALR converts approved Submission Scores into a leaderboard rating from 0 to 100. It measures a user's current form within a fixed sliding window, adjusted for activity.</w:t>
      </w:r>
    </w:p>
    <w:p>
      <w:pPr>
        <w:spacing w:after="60"/>
      </w:pPr>
      <w:r>
        <w:rPr>
          <w:rFonts w:ascii="Inter" w:cs="Inter" w:eastAsia="Inter" w:hAnsi="Inter"/>
          <w:b w:val="false"/>
          <w:bCs w:val="false"/>
          <w:i w:val="false"/>
          <w:iCs w:val="false"/>
          <w:caps w:val="false"/>
          <w:color w:val="16202B"/>
          <w:sz w:val="26"/>
          <w:szCs w:val="26"/>
        </w:rPr>
        <w:t xml:space="preserve"/>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9860"/>
      </w:tblGrid>
      <w:tr>
        <w:tc>
          <w:tcPr>
            <w:tcW w:type="dxa" w:w="9860"/>
            <w:shd w:fill="041B3B" w:color="auto" w:val="clear"/>
            <w:tcMar>
              <w:top w:type="dxa" w:w="200"/>
              <w:left w:type="dxa" w:w="180"/>
              <w:bottom w:type="dxa" w:w="200"/>
              <w:right w:type="dxa" w:w="180"/>
            </w:tcMar>
          </w:tcPr>
          <w:p>
            <w:pPr>
              <w:spacing w:after="0" w:line="300"/>
              <w:jc w:val="center"/>
            </w:pPr>
            <w:r>
              <w:rPr>
                <w:rFonts w:ascii="Inter" w:cs="Inter" w:eastAsia="Inter" w:hAnsi="Inter"/>
                <w:b/>
                <w:bCs/>
                <w:i w:val="false"/>
                <w:iCs w:val="false"/>
                <w:caps w:val="false"/>
                <w:color w:val="FFFFFF"/>
                <w:sz w:val="34"/>
                <w:szCs w:val="34"/>
              </w:rPr>
              <w:t xml:space="preserve">ALR  =  </w:t>
            </w:r>
            <w:r>
              <w:rPr>
                <w:rFonts w:ascii="Inter" w:cs="Inter" w:eastAsia="Inter" w:hAnsi="Inter"/>
                <w:b/>
                <w:bCs/>
                <w:i w:val="false"/>
                <w:iCs w:val="false"/>
                <w:caps w:val="false"/>
                <w:color w:val="53A6E6"/>
                <w:sz w:val="34"/>
                <w:szCs w:val="34"/>
              </w:rPr>
              <w:t xml:space="preserve">S</w:t>
            </w:r>
            <w:r>
              <w:rPr>
                <w:rFonts w:ascii="Inter" w:cs="Inter" w:eastAsia="Inter" w:hAnsi="Inter"/>
                <w:b/>
                <w:bCs/>
                <w:i w:val="false"/>
                <w:iCs w:val="false"/>
                <w:caps w:val="false"/>
                <w:color w:val="53A6E6"/>
                <w:sz w:val="34"/>
                <w:szCs w:val="34"/>
                <w:vertAlign w:val="subscript"/>
              </w:rPr>
              <w:t xml:space="preserve">form</w:t>
            </w:r>
            <w:r>
              <w:rPr>
                <w:rFonts w:ascii="Inter" w:cs="Inter" w:eastAsia="Inter" w:hAnsi="Inter"/>
                <w:b/>
                <w:bCs/>
                <w:i w:val="false"/>
                <w:iCs w:val="false"/>
                <w:caps w:val="false"/>
                <w:color w:val="FFFFFF"/>
                <w:sz w:val="34"/>
                <w:szCs w:val="34"/>
              </w:rPr>
              <w:t xml:space="preserve">  ×  D</w:t>
            </w:r>
          </w:p>
        </w:tc>
      </w:tr>
    </w:tbl>
    <w:p>
      <w:pPr>
        <w:spacing w:after="200"/>
      </w:pPr>
      <w:r>
        <w:rPr>
          <w:rFonts w:ascii="Inter" w:cs="Inter" w:eastAsia="Inter" w:hAnsi="Inter"/>
          <w:b w:val="false"/>
          <w:bCs w:val="false"/>
          <w:i w:val="false"/>
          <w:iCs w:val="false"/>
          <w:caps w:val="false"/>
          <w:color w:val="16202B"/>
          <w:sz w:val="26"/>
          <w:szCs w:val="26"/>
        </w:rPr>
        <w:t xml:space="preserve"/>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1500"/>
        <w:gridCol w:w="4900"/>
        <w:gridCol w:w="3460"/>
      </w:tblGrid>
      <w:tr>
        <w:trPr>
          <w:cantSplit/>
          <w:tblHeader/>
        </w:trPr>
        <w:tc>
          <w:tcPr>
            <w:tcW w:type="dxa" w:w="15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Input</w:t>
            </w:r>
          </w:p>
        </w:tc>
        <w:tc>
          <w:tcPr>
            <w:tcW w:type="dxa" w:w="49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Definition</w:t>
            </w:r>
          </w:p>
        </w:tc>
        <w:tc>
          <w:tcPr>
            <w:tcW w:type="dxa" w:w="34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Scope Rule</w:t>
            </w:r>
          </w:p>
        </w:tc>
      </w:tr>
      <w:tr>
        <w:trPr>
          <w:cantSplit/>
        </w:trPr>
        <w:tc>
          <w:tcPr>
            <w:tcW w:type="dxa" w:w="15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S</w:t>
            </w:r>
            <w:r>
              <w:rPr>
                <w:rFonts w:ascii="Inter" w:cs="Inter" w:eastAsia="Inter" w:hAnsi="Inter"/>
                <w:b/>
                <w:bCs/>
                <w:i w:val="false"/>
                <w:iCs w:val="false"/>
                <w:caps w:val="false"/>
                <w:color w:val="16202B"/>
                <w:sz w:val="26"/>
                <w:szCs w:val="26"/>
                <w:vertAlign w:val="subscript"/>
              </w:rPr>
              <w:t xml:space="preserve">form</w:t>
            </w:r>
          </w:p>
        </w:tc>
        <w:tc>
          <w:tcPr>
            <w:tcW w:type="dxa" w:w="49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Sliding Form Score. The average of the best four of the user's five most recent approved Submission Scores.</w:t>
            </w:r>
          </w:p>
        </w:tc>
        <w:tc>
          <w:tcPr>
            <w:tcW w:type="dxa" w:w="34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Same track, evaluation mode, and leaderboard period.</w:t>
            </w:r>
          </w:p>
        </w:tc>
      </w:tr>
      <w:tr>
        <w:trPr>
          <w:cantSplit/>
        </w:trPr>
        <w:tc>
          <w:tcPr>
            <w:tcW w:type="dxa" w:w="15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D</w:t>
            </w:r>
          </w:p>
        </w:tc>
        <w:tc>
          <w:tcPr>
            <w:tcW w:type="dxa" w:w="49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Activity Decay Multiplier from 0.80 to 1.00.</w:t>
            </w:r>
          </w:p>
        </w:tc>
        <w:tc>
          <w:tcPr>
            <w:tcW w:type="dxa" w:w="34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All-Time rankings only. Monthly rankings use D = 1.00.</w:t>
            </w:r>
          </w:p>
        </w:tc>
      </w:tr>
    </w:tbl>
    <w:p>
      <w:pPr>
        <w:spacing w:after="200"/>
      </w:pPr>
      <w:r>
        <w:rPr>
          <w:rFonts w:ascii="Inter" w:cs="Inter" w:eastAsia="Inter" w:hAnsi="Inter"/>
          <w:b w:val="false"/>
          <w:bCs w:val="false"/>
          <w:i w:val="false"/>
          <w:iCs w:val="false"/>
          <w:caps w:val="false"/>
          <w:color w:val="16202B"/>
          <w:sz w:val="26"/>
          <w:szCs w:val="26"/>
        </w:rPr>
        <w:t xml:space="preserve"/>
      </w:r>
    </w:p>
    <w:p>
      <w:pPr>
        <w:spacing w:after="150" w:before="0" w:line="288"/>
      </w:pPr>
      <w:r>
        <w:rPr>
          <w:rFonts w:ascii="Inter" w:cs="Inter" w:eastAsia="Inter" w:hAnsi="Inter"/>
          <w:b w:val="false"/>
          <w:bCs w:val="false"/>
          <w:i w:val="false"/>
          <w:iCs w:val="false"/>
          <w:caps w:val="false"/>
          <w:color w:val="16202B"/>
          <w:sz w:val="26"/>
          <w:szCs w:val="26"/>
        </w:rPr>
        <w:t xml:space="preserve">Because both inputs are bounded — </w:t>
      </w:r>
      <w:r>
        <w:rPr>
          <w:rFonts w:ascii="Inter" w:cs="Inter" w:eastAsia="Inter" w:hAnsi="Inter"/>
          <w:b w:val="false"/>
          <w:bCs w:val="false"/>
          <w:i w:val="false"/>
          <w:iCs w:val="false"/>
          <w:caps w:val="false"/>
          <w:color w:val="16202B"/>
          <w:sz w:val="26"/>
          <w:szCs w:val="26"/>
        </w:rPr>
        <w:t xml:space="preserve">S</w:t>
      </w:r>
      <w:r>
        <w:rPr>
          <w:rFonts w:ascii="Inter" w:cs="Inter" w:eastAsia="Inter" w:hAnsi="Inter"/>
          <w:b w:val="false"/>
          <w:bCs w:val="false"/>
          <w:i w:val="false"/>
          <w:iCs w:val="false"/>
          <w:caps w:val="false"/>
          <w:color w:val="16202B"/>
          <w:sz w:val="26"/>
          <w:szCs w:val="26"/>
          <w:vertAlign w:val="subscript"/>
        </w:rPr>
        <w:t xml:space="preserve">form</w:t>
      </w:r>
      <w:r>
        <w:rPr>
          <w:rFonts w:ascii="Inter" w:cs="Inter" w:eastAsia="Inter" w:hAnsi="Inter"/>
          <w:b w:val="false"/>
          <w:bCs w:val="false"/>
          <w:i w:val="false"/>
          <w:iCs w:val="false"/>
          <w:caps w:val="false"/>
          <w:color w:val="16202B"/>
          <w:sz w:val="26"/>
          <w:szCs w:val="26"/>
        </w:rPr>
        <w:t xml:space="preserve"> cannot exceed 100 and D cannot exceed 1.00 — ALR is bounded at 100 by construction. No explicit cap is required. ALR shares the Submission Score scale, so a user's rating reads consistently with the scores in their own evaluation reports.</w:t>
      </w:r>
    </w:p>
    <w:p>
      <w:pPr>
        <w:spacing w:after="16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7.2  Window rules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3200"/>
        <w:gridCol w:w="6660"/>
      </w:tblGrid>
      <w:tr>
        <w:trPr>
          <w:cantSplit/>
          <w:tblHeader/>
        </w:trPr>
        <w:tc>
          <w:tcPr>
            <w:tcW w:type="dxa" w:w="320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Approved evaluations in scope</w:t>
            </w:r>
          </w:p>
        </w:tc>
        <w:tc>
          <w:tcPr>
            <w:tcW w:type="dxa" w:w="66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S</w:t>
            </w:r>
            <w:r>
              <w:rPr>
                <w:rFonts w:ascii="Inter" w:cs="Inter" w:eastAsia="Inter" w:hAnsi="Inter"/>
                <w:b/>
                <w:bCs/>
                <w:i w:val="false"/>
                <w:iCs w:val="false"/>
                <w:caps w:val="false"/>
                <w:color w:val="FFFFFF"/>
                <w:sz w:val="26"/>
                <w:szCs w:val="26"/>
                <w:vertAlign w:val="subscript"/>
              </w:rPr>
              <w:t xml:space="preserve">form</w:t>
            </w:r>
            <w:r>
              <w:rPr>
                <w:rFonts w:ascii="Inter" w:cs="Inter" w:eastAsia="Inter" w:hAnsi="Inter"/>
                <w:b/>
                <w:bCs/>
                <w:i w:val="false"/>
                <w:iCs w:val="false"/>
                <w:caps w:val="false"/>
                <w:color w:val="FFFFFF"/>
                <w:sz w:val="26"/>
                <w:szCs w:val="26"/>
              </w:rPr>
              <w:t xml:space="preserve">  calculation</w:t>
            </w:r>
          </w:p>
        </w:tc>
      </w:tr>
      <w:tr>
        <w:trPr>
          <w:cantSplit/>
        </w:trPr>
        <w:tc>
          <w:tcPr>
            <w:tcW w:type="dxa" w:w="3200"/>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16202B"/>
                <w:sz w:val="26"/>
                <w:szCs w:val="26"/>
              </w:rPr>
              <w:t xml:space="preserve">0 – 2</w:t>
            </w:r>
          </w:p>
        </w:tc>
        <w:tc>
          <w:tcPr>
            <w:tcW w:type="dxa" w:w="66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Not ranked. The user is below the qualification threshold and does not appear on the public leaderboard.</w:t>
            </w:r>
          </w:p>
        </w:tc>
      </w:tr>
      <w:tr>
        <w:trPr>
          <w:cantSplit/>
        </w:trPr>
        <w:tc>
          <w:tcPr>
            <w:tcW w:type="dxa" w:w="320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16202B"/>
                <w:sz w:val="26"/>
                <w:szCs w:val="26"/>
              </w:rPr>
              <w:t xml:space="preserve">3</w:t>
            </w:r>
          </w:p>
        </w:tc>
        <w:tc>
          <w:tcPr>
            <w:tcW w:type="dxa" w:w="66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Plain average of all three approved scores. No score is discarded.</w:t>
            </w:r>
          </w:p>
        </w:tc>
      </w:tr>
      <w:tr>
        <w:trPr>
          <w:cantSplit/>
        </w:trPr>
        <w:tc>
          <w:tcPr>
            <w:tcW w:type="dxa" w:w="3200"/>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16202B"/>
                <w:sz w:val="26"/>
                <w:szCs w:val="26"/>
              </w:rPr>
              <w:t xml:space="preserve">4</w:t>
            </w:r>
          </w:p>
        </w:tc>
        <w:tc>
          <w:tcPr>
            <w:tcW w:type="dxa" w:w="66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Plain average of all four approved scores. No score is discarded.</w:t>
            </w:r>
          </w:p>
        </w:tc>
      </w:tr>
      <w:tr>
        <w:trPr>
          <w:cantSplit/>
        </w:trPr>
        <w:tc>
          <w:tcPr>
            <w:tcW w:type="dxa" w:w="320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bCs/>
                <w:i w:val="false"/>
                <w:iCs w:val="false"/>
                <w:caps w:val="false"/>
                <w:color w:val="16202B"/>
                <w:sz w:val="26"/>
                <w:szCs w:val="26"/>
              </w:rPr>
              <w:t xml:space="preserve">5 or more</w:t>
            </w:r>
          </w:p>
        </w:tc>
        <w:tc>
          <w:tcPr>
            <w:tcW w:type="dxa" w:w="66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Take the five most recent approved scores, discard the single lowest, and average the remaining four.</w:t>
            </w:r>
          </w:p>
        </w:tc>
      </w:tr>
    </w:tbl>
    <w:p>
      <w:pPr>
        <w:spacing w:after="200"/>
      </w:pPr>
      <w:r>
        <w:rPr>
          <w:rFonts w:ascii="Inter" w:cs="Inter" w:eastAsia="Inter" w:hAnsi="Inter"/>
          <w:b w:val="false"/>
          <w:bCs w:val="false"/>
          <w:i w:val="false"/>
          <w:iCs w:val="false"/>
          <w:caps w:val="false"/>
          <w:color w:val="16202B"/>
          <w:sz w:val="26"/>
          <w:szCs w:val="26"/>
        </w:rPr>
        <w:t xml:space="preserve"/>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The window slides. When a sixth score is approved, the oldest of the previous five leaves the window and no longer affects the rating.</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Recency is determined by approval timestamp. Where two timestamps are identical, the lower submission ID is treated as earlier.</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Exactly one score is discarded, never more. If two scores tie for lowest, discarding either produces the same result.</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Scores that leave the window are retained in the user's private history and in the audit log; they simply stop contributing to the public rating.</w:t>
      </w:r>
    </w:p>
    <w:p>
      <w:pPr>
        <w:pStyle w:val="Heading2"/>
      </w:pPr>
      <w:r>
        <w:rPr>
          <w:rFonts w:ascii="Inter" w:cs="Inter" w:eastAsia="Inter" w:hAnsi="Inter"/>
          <w:b/>
          <w:bCs/>
          <w:i w:val="false"/>
          <w:iCs w:val="false"/>
          <w:caps w:val="false"/>
          <w:color w:val="0A3D6E"/>
          <w:sz w:val="30"/>
          <w:szCs w:val="30"/>
        </w:rPr>
        <w:t xml:space="preserve">7.3  Participation display</w:t>
      </w:r>
    </w:p>
    <w:p>
      <w:pPr>
        <w:spacing w:after="150" w:before="0" w:line="288"/>
      </w:pPr>
      <w:r>
        <w:rPr>
          <w:rFonts w:ascii="Inter" w:cs="Inter" w:eastAsia="Inter" w:hAnsi="Inter"/>
          <w:b w:val="false"/>
          <w:bCs w:val="false"/>
          <w:i w:val="false"/>
          <w:iCs w:val="false"/>
          <w:caps w:val="false"/>
          <w:color w:val="16202B"/>
          <w:sz w:val="26"/>
          <w:szCs w:val="26"/>
        </w:rPr>
        <w:t xml:space="preserve">Participation no longer contributes to the rating. The total number of approved evaluations in scope is displayed as a separate, non-ranking column on every leaderboard, so sustained activity remains visible without influencing rank order.</w:t>
      </w:r>
    </w:p>
    <w:p>
      <w:pPr>
        <w:spacing w:after="60"/>
      </w:pPr>
      <w:r>
        <w:rPr>
          <w:rFonts w:ascii="Inter" w:cs="Inter" w:eastAsia="Inter" w:hAnsi="Inter"/>
          <w:b w:val="false"/>
          <w:bCs w:val="false"/>
          <w:i w:val="false"/>
          <w:iCs w:val="false"/>
          <w:caps w:val="false"/>
          <w:color w:val="16202B"/>
          <w:sz w:val="26"/>
          <w:szCs w:val="26"/>
        </w:rPr>
        <w:t xml:space="preserve"/>
      </w:r>
    </w:p>
    <w:tbl>
      <w:tblPr>
        <w:tblW w:type="dxa" w:w="9860"/>
        <w:tblBorders>
          <w:top w:val="single" w:color="53A6E6" w:sz="2"/>
          <w:left w:val="single" w:color="53A6E6" w:sz="18"/>
          <w:bottom w:val="single" w:color="53A6E6" w:sz="2"/>
          <w:right w:val="single" w:color="53A6E6" w:sz="2"/>
          <w:insideH w:val="none" w:color="FFFFFF" w:sz="0"/>
          <w:insideV w:val="none" w:color="FFFFFF" w:sz="0"/>
        </w:tblBorders>
      </w:tblPr>
      <w:tblGrid>
        <w:gridCol w:w="9860"/>
      </w:tblGrid>
      <w:tr>
        <w:trPr>
          <w:cantSplit/>
        </w:trPr>
        <w:tc>
          <w:tcPr>
            <w:tcW w:type="dxa" w:w="9860"/>
            <w:shd w:fill="EAF2FB" w:color="auto" w:val="clear"/>
            <w:tcMar>
              <w:top w:type="dxa" w:w="150"/>
              <w:left w:type="dxa" w:w="200"/>
              <w:bottom w:type="dxa" w:w="150"/>
              <w:right w:type="dxa" w:w="180"/>
            </w:tcMar>
          </w:tcPr>
          <w:p>
            <w:pPr>
              <w:spacing w:after="0" w:line="288"/>
            </w:pPr>
            <w:r>
              <w:rPr>
                <w:rFonts w:ascii="Inter" w:cs="Inter" w:eastAsia="Inter" w:hAnsi="Inter"/>
                <w:b/>
                <w:bCs/>
                <w:i w:val="false"/>
                <w:iCs w:val="false"/>
                <w:caps w:val="false"/>
                <w:color w:val="041B3B"/>
                <w:sz w:val="26"/>
                <w:szCs w:val="26"/>
              </w:rPr>
              <w:t>Why participation was removed:  Under the previous model, submission volume directly increased rating through participation- and peak-related components. The current sliding-window model removes that direct volume bonus: additional Approved submissions replace older scores rather than accumulating points simply because more submissions were made. However, each new Approved submission can still change the active score window and may therefore increase or decrease ALR through its score. Submission count itself is not an ALR input.</w:t>
            </w:r>
            <w:r>
              <w:rPr>
                <w:rFonts w:ascii="Inter" w:cs="Inter" w:eastAsia="Inter" w:hAnsi="Inter"/>
                <w:b w:val="false"/>
                <w:bCs w:val="false"/>
                <w:i w:val="false"/>
                <w:iCs w:val="false"/>
                <w:caps w:val="false"/>
                <w:color w:val="16202B"/>
                <w:sz w:val="26"/>
                <w:szCs w:val="26"/>
              </w:rPr>
            </w:r>
          </w:p>
        </w:tc>
      </w:tr>
    </w:tbl>
    <w:p>
      <w:pPr>
        <w:spacing w:after="22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7.4  Rating-mechanics properties and accepted duplicate limitation</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3400"/>
        <w:gridCol w:w="6460"/>
      </w:tblGrid>
      <w:tr>
        <w:trPr>
          <w:cantSplit/>
          <w:tblHeader/>
        </w:trPr>
        <w:tc>
          <w:tcPr>
            <w:tcW w:type="dxa" w:w="34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Behaviour</w:t>
            </w:r>
          </w:p>
        </w:tc>
        <w:tc>
          <w:tcPr>
            <w:tcW w:type="dxa" w:w="64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Effect under the sliding-window model</w:t>
            </w:r>
          </w:p>
        </w:tc>
      </w:tr>
      <w:tr>
        <w:trPr>
          <w:cantSplit/>
        </w:trPr>
        <w:tc>
          <w:tcPr>
            <w:tcW w:type="dxa" w:w="34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Submitting in bulk</w:t>
            </w:r>
          </w:p>
        </w:tc>
        <w:tc>
          <w:tcPr>
            <w:tcW w:type="dxa" w:w="6460"/>
            <w:tcMar>
              <w:top w:type="dxa" w:w="100"/>
              <w:left w:type="dxa" w:w="140"/>
              <w:bottom w:type="dxa" w:w="100"/>
              <w:right w:type="dxa" w:w="140"/>
            </w:tcMar>
            <w:vAlign w:val="top"/>
          </w:tcPr>
          <w:p>
            <w:r>
              <w:t>No direct volume bonus exists because participation count is not an ALR input. However, additional Approved submissions still change the sliding window, and duplicate recordings are explicitly allowed in the MVP.</w:t>
            </w:r>
          </w:p>
        </w:tc>
      </w:tr>
      <w:tr>
        <w:trPr>
          <w:cantSplit/>
        </w:trPr>
        <w:tc>
          <w:tcPr>
            <w:tcW w:type="dxa" w:w="34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Submitting weak attempts to farm a lucky high score</w:t>
            </w:r>
          </w:p>
        </w:tc>
        <w:tc>
          <w:tcPr>
            <w:tcW w:type="dxa" w:w="6460"/>
            <w:shd w:fill="F4F8FC" w:color="auto" w:val="clear"/>
            <w:tcMar>
              <w:top w:type="dxa" w:w="100"/>
              <w:left w:type="dxa" w:w="140"/>
              <w:bottom w:type="dxa" w:w="100"/>
              <w:right w:type="dxa" w:w="140"/>
            </w:tcMar>
            <w:vAlign w:val="top"/>
          </w:tcPr>
          <w:p>
            <w:r>
              <w:t>May improve or reduce the window depending on the resulting scores. Auratio does not implement a duplicate-integrity gate in the MVP, so the product does not claim complete resistance to resubmission-based score seeking.</w:t>
            </w:r>
          </w:p>
        </w:tc>
      </w:tr>
      <w:tr>
        <w:trPr>
          <w:cantSplit/>
        </w:trPr>
        <w:tc>
          <w:tcPr>
            <w:tcW w:type="dxa" w:w="34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 single exceptional result</w:t>
            </w:r>
          </w:p>
        </w:tc>
        <w:tc>
          <w:tcPr>
            <w:tcW w:type="dxa" w:w="64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Counts in full for five submissions, then leaves the window. It cannot anchor a rating indefinitely.</w:t>
            </w:r>
          </w:p>
        </w:tc>
      </w:tr>
      <w:tr>
        <w:trPr>
          <w:cantSplit/>
        </w:trPr>
        <w:tc>
          <w:tcPr>
            <w:tcW w:type="dxa" w:w="34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 single poor performance</w:t>
            </w:r>
          </w:p>
        </w:tc>
        <w:tc>
          <w:tcPr>
            <w:tcW w:type="dxa" w:w="64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Absorbed. The lowest of five is discarded, so one bad day does not distort current form.</w:t>
            </w:r>
          </w:p>
        </w:tc>
      </w:tr>
      <w:tr>
        <w:trPr>
          <w:cantSplit/>
        </w:trPr>
        <w:tc>
          <w:tcPr>
            <w:tcW w:type="dxa" w:w="34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Stopping after a strong run</w:t>
            </w:r>
          </w:p>
        </w:tc>
        <w:tc>
          <w:tcPr>
            <w:tcW w:type="dxa" w:w="64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Countered by activity decay on All-Time rankings, and by the calendar reset on Monthly rankings.</w:t>
            </w:r>
          </w:p>
        </w:tc>
      </w:tr>
      <w:tr>
        <w:trPr>
          <w:cantSplit/>
        </w:trPr>
        <w:tc>
          <w:tcPr>
            <w:tcW w:type="dxa" w:w="34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Uploading a very short recording</w:t>
            </w:r>
          </w:p>
        </w:tc>
        <w:tc>
          <w:tcPr>
            <w:tcW w:type="dxa" w:w="64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Blocked at upload by the track duration gate in §2.</w:t>
            </w:r>
          </w:p>
        </w:tc>
      </w:tr>
    </w:tbl>
    <w:p>
      <w:pPr>
        <w:pStyle w:val="Heading2"/>
      </w:pPr>
      <w:r>
        <w:rPr>
          <w:rFonts w:ascii="Inter" w:cs="Inter" w:eastAsia="Inter" w:hAnsi="Inter"/>
          <w:b/>
          <w:bCs/>
          <w:i w:val="false"/>
          <w:iCs w:val="false"/>
          <w:caps w:val="false"/>
          <w:color w:val="0A3D6E"/>
          <w:sz w:val="30"/>
          <w:szCs w:val="30"/>
        </w:rPr>
        <w:t xml:space="preserve">7.5  Worked examples</w:t>
      </w:r>
    </w:p>
    <w:p>
      <w:pPr>
        <w:spacing w:after="200" w:before="0" w:line="288"/>
      </w:pPr>
      <w:r>
        <w:rPr>
          <w:rFonts w:ascii="Inter" w:cs="Inter" w:eastAsia="Inter" w:hAnsi="Inter"/>
          <w:b w:val="false"/>
          <w:bCs w:val="false"/>
          <w:i/>
          <w:iCs/>
          <w:caps w:val="false"/>
          <w:color w:val="4A5A6B"/>
          <w:sz w:val="26"/>
          <w:szCs w:val="26"/>
        </w:rPr>
        <w:t xml:space="preserve">Scores are listed most recent first. A score shown in brackets is the discarded lowest of the five.</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2900"/>
        <w:gridCol w:w="2700"/>
        <w:gridCol w:w="1400"/>
        <w:gridCol w:w="900"/>
        <w:gridCol w:w="1960"/>
      </w:tblGrid>
      <w:tr>
        <w:trPr>
          <w:cantSplit/>
          <w:tblHeader/>
        </w:trPr>
        <w:tc>
          <w:tcPr>
            <w:tcW w:type="dxa" w:w="29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Scenario</w:t>
            </w:r>
          </w:p>
        </w:tc>
        <w:tc>
          <w:tcPr>
            <w:tcW w:type="dxa" w:w="270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Scores in window</w:t>
            </w:r>
          </w:p>
        </w:tc>
        <w:tc>
          <w:tcPr>
            <w:tcW w:type="dxa" w:w="140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S</w:t>
            </w:r>
            <w:r>
              <w:rPr>
                <w:rFonts w:ascii="Inter" w:cs="Inter" w:eastAsia="Inter" w:hAnsi="Inter"/>
                <w:b/>
                <w:bCs/>
                <w:i w:val="false"/>
                <w:iCs w:val="false"/>
                <w:caps w:val="false"/>
                <w:color w:val="FFFFFF"/>
                <w:sz w:val="26"/>
                <w:szCs w:val="26"/>
                <w:vertAlign w:val="subscript"/>
              </w:rPr>
              <w:t xml:space="preserve">form</w:t>
            </w:r>
          </w:p>
        </w:tc>
        <w:tc>
          <w:tcPr>
            <w:tcW w:type="dxa" w:w="90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D</w:t>
            </w:r>
          </w:p>
        </w:tc>
        <w:tc>
          <w:tcPr>
            <w:tcW w:type="dxa" w:w="196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ALR</w:t>
            </w:r>
          </w:p>
        </w:tc>
      </w:tr>
      <w:tr>
        <w:trPr>
          <w:cantSplit/>
        </w:trPr>
        <w:tc>
          <w:tcPr>
            <w:tcW w:type="dxa" w:w="29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Active user, five approved scores</w:t>
            </w:r>
          </w:p>
        </w:tc>
        <w:tc>
          <w:tcPr>
            <w:tcW w:type="dxa" w:w="270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89, 88, [78], 91, 86</w:t>
            </w:r>
          </w:p>
        </w:tc>
        <w:tc>
          <w:tcPr>
            <w:tcW w:type="dxa" w:w="140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88.50</w:t>
            </w:r>
          </w:p>
        </w:tc>
        <w:tc>
          <w:tcPr>
            <w:tcW w:type="dxa" w:w="90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1.00</w:t>
            </w:r>
          </w:p>
        </w:tc>
        <w:tc>
          <w:tcPr>
            <w:tcW w:type="dxa" w:w="196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88.5</w:t>
            </w:r>
          </w:p>
        </w:tc>
      </w:tr>
      <w:tr>
        <w:trPr>
          <w:cantSplit/>
        </w:trPr>
        <w:tc>
          <w:tcPr>
            <w:tcW w:type="dxa" w:w="29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Same user, 47 days since last approval</w:t>
            </w:r>
          </w:p>
        </w:tc>
        <w:tc>
          <w:tcPr>
            <w:tcW w:type="dxa" w:w="270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89, 88, [78], 91, 86</w:t>
            </w:r>
          </w:p>
        </w:tc>
        <w:tc>
          <w:tcPr>
            <w:tcW w:type="dxa" w:w="140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88.50</w:t>
            </w:r>
          </w:p>
        </w:tc>
        <w:tc>
          <w:tcPr>
            <w:tcW w:type="dxa" w:w="90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0.90</w:t>
            </w:r>
          </w:p>
        </w:tc>
        <w:tc>
          <w:tcPr>
            <w:tcW w:type="dxa" w:w="196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79.7</w:t>
            </w:r>
          </w:p>
        </w:tc>
      </w:tr>
      <w:tr>
        <w:trPr>
          <w:cantSplit/>
        </w:trPr>
        <w:tc>
          <w:tcPr>
            <w:tcW w:type="dxa" w:w="29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Newly qualified user, three approved scores</w:t>
            </w:r>
          </w:p>
        </w:tc>
        <w:tc>
          <w:tcPr>
            <w:tcW w:type="dxa" w:w="270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82, 79, 85</w:t>
            </w:r>
          </w:p>
        </w:tc>
        <w:tc>
          <w:tcPr>
            <w:tcW w:type="dxa" w:w="140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82.00</w:t>
            </w:r>
          </w:p>
        </w:tc>
        <w:tc>
          <w:tcPr>
            <w:tcW w:type="dxa" w:w="90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1.00</w:t>
            </w:r>
          </w:p>
        </w:tc>
        <w:tc>
          <w:tcPr>
            <w:tcW w:type="dxa" w:w="196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82.0</w:t>
            </w:r>
          </w:p>
        </w:tc>
      </w:tr>
      <w:tr>
        <w:trPr>
          <w:cantSplit/>
        </w:trPr>
        <w:tc>
          <w:tcPr>
            <w:tcW w:type="dxa" w:w="29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High-volume user, 40 lifetime submissions</w:t>
            </w:r>
          </w:p>
        </w:tc>
        <w:tc>
          <w:tcPr>
            <w:tcW w:type="dxa" w:w="270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79, [76], 81, 78, 80</w:t>
            </w:r>
          </w:p>
        </w:tc>
        <w:tc>
          <w:tcPr>
            <w:tcW w:type="dxa" w:w="140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79.50</w:t>
            </w:r>
          </w:p>
        </w:tc>
        <w:tc>
          <w:tcPr>
            <w:tcW w:type="dxa" w:w="90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1.00</w:t>
            </w:r>
          </w:p>
        </w:tc>
        <w:tc>
          <w:tcPr>
            <w:tcW w:type="dxa" w:w="196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79.5</w:t>
            </w:r>
          </w:p>
        </w:tc>
      </w:tr>
    </w:tbl>
    <w:p>
      <w:pPr>
        <w:spacing w:after="200"/>
      </w:pPr>
      <w:r>
        <w:rPr>
          <w:rFonts w:ascii="Inter" w:cs="Inter" w:eastAsia="Inter" w:hAnsi="Inter"/>
          <w:b w:val="false"/>
          <w:bCs w:val="false"/>
          <w:i w:val="false"/>
          <w:iCs w:val="false"/>
          <w:caps w:val="false"/>
          <w:color w:val="16202B"/>
          <w:sz w:val="26"/>
          <w:szCs w:val="26"/>
        </w:rPr>
        <w:t xml:space="preserve"/>
      </w:r>
    </w:p>
    <w:p>
      <w:pPr>
        <w:spacing w:after="150" w:before="0" w:line="288"/>
      </w:pPr>
      <w:r>
        <w:rPr>
          <w:rFonts w:ascii="Inter" w:cs="Inter" w:eastAsia="Inter" w:hAnsi="Inter"/>
          <w:b w:val="false"/>
          <w:bCs w:val="false"/>
          <w:i w:val="false"/>
          <w:iCs w:val="false"/>
          <w:caps w:val="false"/>
          <w:color w:val="16202B"/>
          <w:sz w:val="26"/>
          <w:szCs w:val="26"/>
        </w:rPr>
        <w:t>The examples illustrate that lifetime submission count is not itself an ALR input: only in-scope Approved scores inside the current window affect Sform. This should not be read as a duplicate-prevention guarantee; exact and near-duplicate submissions remain permitted in the MVP.</w:t>
      </w:r>
    </w:p>
    <w:p>
      <w:r>
        <w:br w:type="page"/>
      </w:r>
    </w:p>
    <w:p>
      <w:pPr>
        <w:pStyle w:val="Heading1"/>
      </w:pPr>
      <w:r>
        <w:rPr>
          <w:rFonts w:ascii="Inter" w:cs="Inter" w:eastAsia="Inter" w:hAnsi="Inter"/>
          <w:b/>
          <w:bCs/>
          <w:i w:val="false"/>
          <w:iCs w:val="false"/>
          <w:caps w:val="false"/>
          <w:color w:val="041B3B"/>
          <w:sz w:val="40"/>
          <w:szCs w:val="40"/>
        </w:rPr>
        <w:t xml:space="preserve">8.  Eligibility, Seasons, and Ranking Rules</w:t>
      </w:r>
    </w:p>
    <w:p>
      <w:pPr>
        <w:pStyle w:val="Heading2"/>
      </w:pPr>
      <w:r>
        <w:rPr>
          <w:rFonts w:ascii="Inter" w:cs="Inter" w:eastAsia="Inter" w:hAnsi="Inter"/>
          <w:b/>
          <w:bCs/>
          <w:i w:val="false"/>
          <w:iCs w:val="false"/>
          <w:caps w:val="false"/>
          <w:color w:val="0A3D6E"/>
          <w:sz w:val="30"/>
          <w:szCs w:val="30"/>
        </w:rPr>
        <w:t xml:space="preserve">8.1  Qualification</w:t>
      </w:r>
    </w:p>
    <w:tbl>
      <w:tblPr>
        <w:tblW w:type="dxa" w:w="9860"/>
        <w:tblBorders>
          <w:top w:val="single" w:color="53A6E6" w:sz="2"/>
          <w:left w:val="single" w:color="53A6E6" w:sz="18"/>
          <w:bottom w:val="single" w:color="53A6E6" w:sz="2"/>
          <w:right w:val="single" w:color="53A6E6" w:sz="2"/>
          <w:insideH w:val="none" w:color="FFFFFF" w:sz="0"/>
          <w:insideV w:val="none" w:color="FFFFFF" w:sz="0"/>
        </w:tblBorders>
      </w:tblPr>
      <w:tblGrid>
        <w:gridCol w:w="9860"/>
      </w:tblGrid>
      <w:tr>
        <w:tc>
          <w:tcPr>
            <w:tcW w:type="dxa" w:w="9860"/>
            <w:shd w:fill="EAF2FB" w:color="auto" w:val="clear"/>
            <w:tcMar>
              <w:top w:type="dxa" w:w="150"/>
              <w:left w:type="dxa" w:w="200"/>
              <w:bottom w:type="dxa" w:w="150"/>
              <w:right w:type="dxa" w:w="180"/>
            </w:tcMar>
          </w:tcPr>
          <w:p>
            <w:pPr>
              <w:spacing w:after="0" w:line="288"/>
            </w:pPr>
            <w:r>
              <w:rPr>
                <w:rFonts w:ascii="Inter" w:cs="Inter" w:eastAsia="Inter" w:hAnsi="Inter"/>
                <w:b/>
                <w:bCs/>
                <w:i w:val="false"/>
                <w:iCs w:val="false"/>
                <w:caps w:val="false"/>
                <w:color w:val="041B3B"/>
                <w:sz w:val="26"/>
                <w:szCs w:val="26"/>
              </w:rPr>
              <w:t xml:space="preserve">Qualification threshold:  </w:t>
            </w:r>
            <w:r>
              <w:rPr>
                <w:rFonts w:ascii="Inter" w:cs="Inter" w:eastAsia="Inter" w:hAnsi="Inter"/>
                <w:b w:val="false"/>
                <w:bCs w:val="false"/>
                <w:i w:val="false"/>
                <w:iCs w:val="false"/>
                <w:caps w:val="false"/>
                <w:color w:val="16202B"/>
                <w:sz w:val="26"/>
                <w:szCs w:val="26"/>
              </w:rPr>
              <w:t xml:space="preserve">A user must have 3 approved evaluations in the same track, evaluation mode, and leaderboard period before appearing on that public leaderboard.</w:t>
            </w:r>
          </w:p>
        </w:tc>
      </w:tr>
    </w:tbl>
    <w:p>
      <w:pPr>
        <w:spacing w:after="160"/>
      </w:pPr>
      <w:r>
        <w:rPr>
          <w:rFonts w:ascii="Inter" w:cs="Inter" w:eastAsia="Inter" w:hAnsi="Inter"/>
          <w:b w:val="false"/>
          <w:bCs w:val="false"/>
          <w:i w:val="false"/>
          <w:iCs w:val="false"/>
          <w:caps w:val="false"/>
          <w:color w:val="16202B"/>
          <w:sz w:val="26"/>
          <w:szCs w:val="26"/>
        </w:rPr>
        <w:t xml:space="preserve"/>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Three AI evaluations qualify the AI view but not the Human view.</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Three Human evaluations qualify the Human view but not the AI view.</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A combination such as 2 AI + 1 Human qualifies neither public leaderboard.</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Monthly qualification resets with the season and requires 3 Approved evaluations whose submission dates fall within that calendar month. Approval remains mandatory before any evaluation can count.</w:t>
      </w:r>
    </w:p>
    <w:p>
      <w:pPr>
        <w:spacing w:after="22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8.2  Time horizons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2250"/>
        <w:gridCol w:w="3150"/>
        <w:gridCol w:w="2800"/>
        <w:gridCol w:w="1660"/>
      </w:tblGrid>
      <w:tr>
        <w:trPr>
          <w:cantSplit/>
          <w:tblHeader/>
        </w:trPr>
        <w:tc>
          <w:tcPr>
            <w:tcW w:type="dxa" w:w="225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Leaderboard</w:t>
            </w:r>
          </w:p>
        </w:tc>
        <w:tc>
          <w:tcPr>
            <w:tcW w:type="dxa" w:w="315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Data Window</w:t>
            </w:r>
          </w:p>
        </w:tc>
        <w:tc>
          <w:tcPr>
            <w:tcW w:type="dxa" w:w="28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Purpose</w:t>
            </w:r>
          </w:p>
        </w:tc>
        <w:tc>
          <w:tcPr>
            <w:tcW w:type="dxa" w:w="16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Decay</w:t>
            </w:r>
          </w:p>
        </w:tc>
      </w:tr>
      <w:tr>
        <w:trPr>
          <w:cantSplit/>
        </w:trPr>
        <w:tc>
          <w:tcPr>
            <w:tcW w:type="dxa" w:w="225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All-Time</w:t>
            </w:r>
          </w:p>
        </w:tc>
        <w:tc>
          <w:tcPr>
            <w:tcW w:type="dxa" w:w="315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five most recent approved evaluations in the selected track and mode.</w:t>
            </w:r>
          </w:p>
        </w:tc>
        <w:tc>
          <w:tcPr>
            <w:tcW w:type="dxa" w:w="28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Measures sustained current ability across the user's full history on the platform.</w:t>
            </w:r>
          </w:p>
        </w:tc>
        <w:tc>
          <w:tcPr>
            <w:tcW w:type="dxa" w:w="16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Apply D.</w:t>
            </w:r>
          </w:p>
        </w:tc>
      </w:tr>
      <w:tr>
        <w:trPr>
          <w:cantSplit/>
        </w:trPr>
        <w:tc>
          <w:tcPr>
            <w:tcW w:type="dxa" w:w="225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Monthly Seasonal</w:t>
            </w:r>
          </w:p>
        </w:tc>
        <w:tc>
          <w:tcPr>
            <w:tcW w:type="dxa" w:w="3150"/>
            <w:shd w:fill="F4F8FC" w:color="auto" w:val="clear"/>
            <w:tcMar>
              <w:top w:type="dxa" w:w="100"/>
              <w:left w:type="dxa" w:w="140"/>
              <w:bottom w:type="dxa" w:w="100"/>
              <w:right w:type="dxa" w:w="140"/>
            </w:tcMar>
            <w:vAlign w:val="top"/>
          </w:tcPr>
          <w:p>
            <w:r>
              <w:t>Approved evaluations whose submission dates fall within the selected calendar month, up to the five most recent in-scope Approved scores.</w:t>
            </w:r>
          </w:p>
        </w:tc>
        <w:tc>
          <w:tcPr>
            <w:tcW w:type="dxa" w:w="28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Gives active and new users a fresh opportunity each month.</w:t>
            </w:r>
          </w:p>
        </w:tc>
        <w:tc>
          <w:tcPr>
            <w:tcW w:type="dxa" w:w="16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D = 1.00, because the monthly window already enforces recency.</w:t>
            </w:r>
          </w:p>
        </w:tc>
      </w:tr>
    </w:tbl>
    <w:p>
      <w:pPr>
        <w:spacing w:after="22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8.3  Activity decay</w:t>
      </w:r>
    </w:p>
    <w:p>
      <w:pPr>
        <w:spacing w:after="150" w:before="0" w:line="288"/>
      </w:pPr>
      <w:r>
        <w:rPr>
          <w:rFonts w:ascii="Inter" w:cs="Inter" w:eastAsia="Inter" w:hAnsi="Inter"/>
          <w:b w:val="false"/>
          <w:bCs w:val="false"/>
          <w:i w:val="false"/>
          <w:iCs w:val="false"/>
          <w:caps w:val="false"/>
          <w:color w:val="16202B"/>
          <w:sz w:val="26"/>
          <w:szCs w:val="26"/>
        </w:rPr>
        <w:t xml:space="preserve">For All-Time rankings, activity is determined by the user's latest approved evaluation in the same track and evaluation mode. A new approved evaluation resets D to 1.00 for that scope. D multiplies </w:t>
      </w:r>
      <w:r>
        <w:rPr>
          <w:rFonts w:ascii="Inter" w:cs="Inter" w:eastAsia="Inter" w:hAnsi="Inter"/>
          <w:b w:val="false"/>
          <w:bCs w:val="false"/>
          <w:i w:val="false"/>
          <w:iCs w:val="false"/>
          <w:caps w:val="false"/>
          <w:color w:val="16202B"/>
          <w:sz w:val="26"/>
          <w:szCs w:val="26"/>
        </w:rPr>
        <w:t xml:space="preserve">S</w:t>
      </w:r>
      <w:r>
        <w:rPr>
          <w:rFonts w:ascii="Inter" w:cs="Inter" w:eastAsia="Inter" w:hAnsi="Inter"/>
          <w:b w:val="false"/>
          <w:bCs w:val="false"/>
          <w:i w:val="false"/>
          <w:iCs w:val="false"/>
          <w:caps w:val="false"/>
          <w:color w:val="16202B"/>
          <w:sz w:val="26"/>
          <w:szCs w:val="26"/>
          <w:vertAlign w:val="subscript"/>
        </w:rPr>
        <w:t xml:space="preserve">form</w:t>
      </w:r>
      <w:r>
        <w:rPr>
          <w:rFonts w:ascii="Inter" w:cs="Inter" w:eastAsia="Inter" w:hAnsi="Inter"/>
          <w:b w:val="false"/>
          <w:bCs w:val="false"/>
          <w:i w:val="false"/>
          <w:iCs w:val="false"/>
          <w:caps w:val="false"/>
          <w:color w:val="16202B"/>
          <w:sz w:val="26"/>
          <w:szCs w:val="26"/>
        </w:rPr>
        <w:t xml:space="preserve"> and is never applied to Monthly rankings.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6600"/>
        <w:gridCol w:w="3260"/>
      </w:tblGrid>
      <w:tr>
        <w:trPr>
          <w:cantSplit/>
          <w:tblHeader/>
        </w:trPr>
        <w:tc>
          <w:tcPr>
            <w:tcW w:type="dxa" w:w="66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Days Since Latest Approved Evaluation</w:t>
            </w:r>
          </w:p>
        </w:tc>
        <w:tc>
          <w:tcPr>
            <w:tcW w:type="dxa" w:w="326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D</w:t>
            </w:r>
          </w:p>
        </w:tc>
      </w:tr>
      <w:tr>
        <w:trPr>
          <w:cantSplit/>
        </w:trPr>
        <w:tc>
          <w:tcPr>
            <w:tcW w:type="dxa" w:w="66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0 – 30</w:t>
            </w:r>
          </w:p>
        </w:tc>
        <w:tc>
          <w:tcPr>
            <w:tcW w:type="dxa" w:w="326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1.00</w:t>
            </w:r>
          </w:p>
        </w:tc>
      </w:tr>
      <w:tr>
        <w:trPr>
          <w:cantSplit/>
        </w:trPr>
        <w:tc>
          <w:tcPr>
            <w:tcW w:type="dxa" w:w="66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31 – 44</w:t>
            </w:r>
          </w:p>
        </w:tc>
        <w:tc>
          <w:tcPr>
            <w:tcW w:type="dxa" w:w="326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0.95</w:t>
            </w:r>
          </w:p>
        </w:tc>
      </w:tr>
      <w:tr>
        <w:trPr>
          <w:cantSplit/>
        </w:trPr>
        <w:tc>
          <w:tcPr>
            <w:tcW w:type="dxa" w:w="66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45 – 58</w:t>
            </w:r>
          </w:p>
        </w:tc>
        <w:tc>
          <w:tcPr>
            <w:tcW w:type="dxa" w:w="3260"/>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0.90</w:t>
            </w:r>
          </w:p>
        </w:tc>
      </w:tr>
      <w:tr>
        <w:trPr>
          <w:cantSplit/>
        </w:trPr>
        <w:tc>
          <w:tcPr>
            <w:tcW w:type="dxa" w:w="66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59 – 72</w:t>
            </w:r>
          </w:p>
        </w:tc>
        <w:tc>
          <w:tcPr>
            <w:tcW w:type="dxa" w:w="3260"/>
            <w:shd w:fill="F4F8FC" w:color="auto" w:val="clear"/>
            <w:tcMar>
              <w:top w:type="dxa" w:w="100"/>
              <w:left w:type="dxa" w:w="140"/>
              <w:bottom w:type="dxa" w:w="100"/>
              <w:right w:type="dxa" w:w="140"/>
            </w:tcMar>
            <w:vAlign w:val="top"/>
          </w:tcPr>
          <w:p>
            <w:pPr>
              <w:keepNext/>
              <w:spacing w:after="0" w:line="276"/>
              <w:jc w:val="center"/>
            </w:pPr>
            <w:r>
              <w:rPr>
                <w:rFonts w:ascii="Inter" w:cs="Inter" w:eastAsia="Inter" w:hAnsi="Inter"/>
                <w:b w:val="false"/>
                <w:bCs w:val="false"/>
                <w:i w:val="false"/>
                <w:iCs w:val="false"/>
                <w:caps w:val="false"/>
                <w:color w:val="16202B"/>
                <w:sz w:val="26"/>
                <w:szCs w:val="26"/>
              </w:rPr>
              <w:t xml:space="preserve">0.85</w:t>
            </w:r>
          </w:p>
        </w:tc>
      </w:tr>
      <w:tr>
        <w:trPr>
          <w:cantSplit/>
        </w:trPr>
        <w:tc>
          <w:tcPr>
            <w:tcW w:type="dxa" w:w="66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73 or more</w:t>
            </w:r>
          </w:p>
        </w:tc>
        <w:tc>
          <w:tcPr>
            <w:tcW w:type="dxa" w:w="326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0.80</w:t>
            </w:r>
          </w:p>
        </w:tc>
      </w:tr>
    </w:tbl>
    <w:p>
      <w:pPr>
        <w:spacing w:after="22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8.4  Tie-breaking</w:t>
      </w:r>
    </w:p>
    <w:p>
      <w:pPr>
        <w:spacing w:after="150" w:before="0" w:line="288"/>
      </w:pPr>
      <w:r>
        <w:rPr>
          <w:rFonts w:ascii="Inter" w:cs="Inter" w:eastAsia="Inter" w:hAnsi="Inter"/>
          <w:b w:val="false"/>
          <w:bCs w:val="false"/>
          <w:i w:val="false"/>
          <w:iCs w:val="false"/>
          <w:caps w:val="false"/>
          <w:color w:val="16202B"/>
          <w:sz w:val="26"/>
          <w:szCs w:val="26"/>
        </w:rPr>
        <w:t xml:space="preserve">Rankings use the unrounded ALR value. If two users remain tied, apply the following order:</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Higher average across the complete score window, including the discarded score where applicable. This rewards the more consistent performer. For users with only three or four approved scores, the criterion compares the average of all scores in their complete in-scope window; it is not necessarily neutral when tied ALR values arise under different activity-decay multipliers.</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Higher single best approved Submission Score in the same scope.</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Earlier date on which the user satisfied the 3-evaluation qualification threshold.</w:t>
      </w:r>
    </w:p>
    <w:p>
      <w:pPr>
        <w:spacing w:after="120"/>
      </w:pPr>
      <w:r>
        <w:rPr>
          <w:rFonts w:ascii="Inter" w:cs="Inter" w:eastAsia="Inter" w:hAnsi="Inter"/>
          <w:b w:val="false"/>
          <w:bCs w:val="false"/>
          <w:i w:val="false"/>
          <w:iCs w:val="false"/>
          <w:caps w:val="false"/>
          <w:color w:val="16202B"/>
          <w:sz w:val="26"/>
          <w:szCs w:val="26"/>
        </w:rPr>
        <w:t xml:space="preserve"/>
      </w:r>
    </w:p>
    <w:p>
      <w:pPr>
        <w:spacing w:after="150" w:before="0" w:line="288"/>
      </w:pPr>
      <w:r>
        <w:rPr>
          <w:rFonts w:ascii="Inter" w:cs="Inter" w:eastAsia="Inter" w:hAnsi="Inter"/>
          <w:b w:val="false"/>
          <w:bCs w:val="false"/>
          <w:i w:val="false"/>
          <w:iCs w:val="false"/>
          <w:caps w:val="false"/>
          <w:color w:val="16202B"/>
          <w:sz w:val="26"/>
          <w:szCs w:val="26"/>
        </w:rPr>
        <w:t xml:space="preserve">Display ALR to one decimal place, while retaining at least four decimal places internally for ordering.</w:t>
      </w:r>
    </w:p>
    <w:p>
      <w:pPr>
        <w:pStyle w:val="Heading1"/>
      </w:pPr>
      <w:r>
        <w:rPr>
          <w:rFonts w:ascii="Inter" w:cs="Inter" w:eastAsia="Inter" w:hAnsi="Inter"/>
          <w:b/>
          <w:bCs/>
          <w:i w:val="false"/>
          <w:iCs w:val="false"/>
          <w:caps w:val="false"/>
          <w:color w:val="041B3B"/>
          <w:sz w:val="40"/>
          <w:szCs w:val="40"/>
        </w:rPr>
        <w:t xml:space="preserve">9.  Moderation and Publication Workflow</w:t>
      </w:r>
    </w:p>
    <w:p>
      <w:pPr>
        <w:pStyle w:val="Heading2"/>
      </w:pPr>
      <w:r>
        <w:rPr>
          <w:rFonts w:ascii="Inter" w:cs="Inter" w:eastAsia="Inter" w:hAnsi="Inter"/>
          <w:b/>
          <w:bCs/>
          <w:i w:val="false"/>
          <w:iCs w:val="false"/>
          <w:caps w:val="false"/>
          <w:color w:val="0A3D6E"/>
          <w:sz w:val="30"/>
          <w:szCs w:val="30"/>
        </w:rPr>
        <w:t xml:space="preserve">9.1  Evaluation statuses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2300"/>
        <w:gridCol w:w="4200"/>
        <w:gridCol w:w="3360"/>
      </w:tblGrid>
      <w:tr>
        <w:trPr>
          <w:cantSplit/>
          <w:tblHeader/>
        </w:trPr>
        <w:tc>
          <w:tcPr>
            <w:tcW w:type="dxa" w:w="23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Status</w:t>
            </w:r>
          </w:p>
        </w:tc>
        <w:tc>
          <w:tcPr>
            <w:tcW w:type="dxa" w:w="42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Meaning</w:t>
            </w:r>
          </w:p>
        </w:tc>
        <w:tc>
          <w:tcPr>
            <w:tcW w:type="dxa" w:w="33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Leaderboard Effect</w:t>
            </w:r>
          </w:p>
        </w:tc>
      </w:tr>
      <w:tr>
        <w:trPr>
          <w:cantSplit/>
        </w:trPr>
        <w:tc>
          <w:tcPr>
            <w:tcW w:type="dxa" w:w="23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Rejected at Upload</w:t>
            </w:r>
          </w:p>
        </w:tc>
        <w:tc>
          <w:tcPr>
            <w:tcW w:type="dxa" w:w="42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recording fails a pre-evaluation eligibility check, such as the track duration range.</w:t>
            </w:r>
          </w:p>
        </w:tc>
        <w:tc>
          <w:tcPr>
            <w:tcW w:type="dxa" w:w="33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None. No evaluation record is created and the rating window is unaffected.</w:t>
            </w:r>
          </w:p>
        </w:tc>
      </w:tr>
      <w:tr>
        <w:trPr>
          <w:cantSplit/>
        </w:trPr>
        <w:tc>
          <w:tcPr>
            <w:tcW w:type="dxa" w:w="23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Processing</w:t>
            </w:r>
          </w:p>
        </w:tc>
        <w:tc>
          <w:tcPr>
            <w:tcW w:type="dxa" w:w="42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submission or evaluation is still being generated or reviewed.</w:t>
            </w:r>
          </w:p>
        </w:tc>
        <w:tc>
          <w:tcPr>
            <w:tcW w:type="dxa" w:w="33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None.</w:t>
            </w:r>
          </w:p>
        </w:tc>
      </w:tr>
      <w:tr>
        <w:trPr>
          <w:cantSplit/>
        </w:trPr>
        <w:tc>
          <w:tcPr>
            <w:tcW w:type="dxa" w:w="2300"/>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Pending Moderation</w:t>
            </w:r>
          </w:p>
        </w:tc>
        <w:tc>
          <w:tcPr>
            <w:tcW w:type="dxa" w:w="42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score is complete but requires admin review before publication.</w:t>
            </w:r>
          </w:p>
        </w:tc>
        <w:tc>
          <w:tcPr>
            <w:tcW w:type="dxa" w:w="33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None.</w:t>
            </w:r>
          </w:p>
        </w:tc>
      </w:tr>
      <w:tr>
        <w:trPr>
          <w:cantSplit/>
        </w:trPr>
        <w:tc>
          <w:tcPr>
            <w:tcW w:type="dxa" w:w="23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16202B"/>
                <w:sz w:val="26"/>
                <w:szCs w:val="26"/>
              </w:rPr>
              <w:t xml:space="preserve">Approved</w:t>
            </w:r>
          </w:p>
        </w:tc>
        <w:tc>
          <w:tcPr>
            <w:tcW w:type="dxa" w:w="4200"/>
            <w:shd w:fill="F4F8FC" w:color="auto" w:val="clear"/>
            <w:tcMar>
              <w:top w:type="dxa" w:w="100"/>
              <w:left w:type="dxa" w:w="140"/>
              <w:bottom w:type="dxa" w:w="100"/>
              <w:right w:type="dxa" w:w="140"/>
            </w:tcMar>
            <w:vAlign w:val="top"/>
          </w:tcPr>
          <w:p>
            <w:r>
              <w:t>The structured score/evaluation satisfies publication rules. Approved is terminal at the MVP product level and triggers official .docx generation.</w:t>
            </w:r>
          </w:p>
        </w:tc>
        <w:tc>
          <w:tcPr>
            <w:tcW w:type="dxa" w:w="33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Enters the rating window and updates private progress and the relevant public leaderboard.</w:t>
            </w:r>
          </w:p>
        </w:tc>
      </w:tr>
      <w:tr>
        <w:trPr>
          <w:cantSplit/>
        </w:trPr>
        <w:tc>
          <w:tcPr>
            <w:tcW w:type="dxa" w:w="23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Rejected</w:t>
            </w:r>
          </w:p>
        </w:tc>
        <w:tc>
          <w:tcPr>
            <w:tcW w:type="dxa" w:w="420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The evaluation is invalid, incomplete, or unusable.</w:t>
            </w:r>
          </w:p>
        </w:tc>
        <w:tc>
          <w:tcPr>
            <w:tcW w:type="dxa" w:w="33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None. The user may resubmit where permitted.</w:t>
            </w:r>
          </w:p>
        </w:tc>
      </w:tr>
    </w:tbl>
    <w:p>
      <w:pPr>
        <w:spacing w:after="200"/>
      </w:pPr>
      <w:r>
        <w:rPr>
          <w:rFonts w:ascii="Inter" w:cs="Inter" w:eastAsia="Inter" w:hAnsi="Inter"/>
          <w:b w:val="false"/>
          <w:bCs w:val="false"/>
          <w:i w:val="false"/>
          <w:iCs w:val="false"/>
          <w:caps w:val="false"/>
          <w:color w:val="16202B"/>
          <w:sz w:val="26"/>
          <w:szCs w:val="26"/>
        </w:rPr>
        <w:t xml:space="preserve"/>
      </w:r>
    </w:p>
    <w:tbl>
      <w:tblPr>
        <w:tblW w:type="dxa" w:w="9860"/>
        <w:tblBorders>
          <w:top w:val="single" w:color="53A6E6" w:sz="2"/>
          <w:left w:val="single" w:color="53A6E6" w:sz="18"/>
          <w:bottom w:val="single" w:color="53A6E6" w:sz="2"/>
          <w:right w:val="single" w:color="53A6E6" w:sz="2"/>
          <w:insideH w:val="none" w:color="FFFFFF" w:sz="0"/>
          <w:insideV w:val="none" w:color="FFFFFF" w:sz="0"/>
        </w:tblBorders>
      </w:tblPr>
      <w:tblGrid>
        <w:gridCol w:w="9860"/>
      </w:tblGrid>
      <w:tr>
        <w:tc>
          <w:tcPr>
            <w:tcW w:type="dxa" w:w="9860"/>
            <w:shd w:fill="EAF2FB" w:color="auto" w:val="clear"/>
            <w:tcMar>
              <w:top w:type="dxa" w:w="150"/>
              <w:left w:type="dxa" w:w="200"/>
              <w:bottom w:type="dxa" w:w="150"/>
              <w:right w:type="dxa" w:w="180"/>
            </w:tcMar>
          </w:tcPr>
          <w:p>
            <w:pPr>
              <w:spacing w:after="0" w:line="288"/>
            </w:pPr>
            <w:r>
              <w:rPr>
                <w:rFonts w:ascii="Inter" w:cs="Inter" w:eastAsia="Inter" w:hAnsi="Inter"/>
                <w:b/>
                <w:bCs/>
                <w:i w:val="false"/>
                <w:iCs w:val="false"/>
                <w:caps w:val="false"/>
                <w:color w:val="041B3B"/>
                <w:sz w:val="26"/>
                <w:szCs w:val="26"/>
              </w:rPr>
              <w:t xml:space="preserve">Publication rule:  </w:t>
            </w:r>
            <w:r>
              <w:rPr>
                <w:rFonts w:ascii="Inter" w:cs="Inter" w:eastAsia="Inter" w:hAnsi="Inter"/>
                <w:b w:val="false"/>
                <w:bCs w:val="false"/>
                <w:i w:val="false"/>
                <w:iCs w:val="false"/>
                <w:caps w:val="false"/>
                <w:color w:val="16202B"/>
                <w:sz w:val="26"/>
                <w:szCs w:val="26"/>
              </w:rPr>
              <w:t xml:space="preserve">Only Approved scores enter the rating window, update progress, and affect rankings. This keeps immediate synchronisation and moderation holds from conflicting.</w:t>
            </w:r>
          </w:p>
        </w:tc>
      </w:tr>
    </w:tbl>
    <w:p>
      <w:pPr>
        <w:spacing w:after="22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9.2  AI evaluation path</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The configured AI evaluator evaluates the original submitted video directly and applies the same 100-point rubric. It returns strict predefined JSON containing complete structured evaluation data rather than a free-form report.</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The system records model version, prompt version, submission ID, track, timestamps, criterion-level anchors/scores/feedback, raw validated AI output or reference to it, and validation outcome for auditability.</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An AI evaluation may auto-approve when its JSON is complete, parseable, criterion-aligned, structurally valid, scoring-consistent, and satisfies all required publication checks. Official .docx generation is not an approval prerequisite; it is triggered only after approval.</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If the single Gemini attempt fails to return a usable evaluation — for example because the API call fails or the response is malformed, incomplete, outside valid score ranges, arithmetically inconsistent, missing required timestamp/evidence fields, or otherwise fails the predefined basic validation contract — the AI evaluation becomes Rejected. The MVP performs no automatic AI retry and does not send AI-output failures to Pending Moderation. The user may submit a new evaluation request after the Rejected outcome releases the active-request gate.</w:t>
      </w:r>
    </w:p>
    <w:p>
      <w:pPr>
        <w:spacing w:after="220"/>
      </w:pPr>
      <w:r>
        <w:rPr>
          <w:rFonts w:ascii="Inter" w:cs="Inter" w:eastAsia="Inter" w:hAnsi="Inter"/>
          <w:b w:val="false"/>
          <w:bCs w:val="false"/>
          <w:i w:val="false"/>
          <w:iCs w:val="false"/>
          <w:caps w:val="false"/>
          <w:color w:val="16202B"/>
          <w:sz w:val="26"/>
          <w:szCs w:val="26"/>
        </w:rPr>
        <w:t xml:space="preserve"/>
      </w:r>
    </w:p>
    <w:p>
      <w:pPr>
        <w:pStyle w:val="Heading2"/>
      </w:pPr>
      <w:r>
        <w:rPr>
          <w:rFonts w:ascii="Inter" w:cs="Inter" w:eastAsia="Inter" w:hAnsi="Inter"/>
          <w:b/>
          <w:bCs/>
          <w:i w:val="false"/>
          <w:iCs w:val="false"/>
          <w:caps w:val="false"/>
          <w:color w:val="0A3D6E"/>
          <w:sz w:val="30"/>
          <w:szCs w:val="30"/>
        </w:rPr>
        <w:t xml:space="preserve">9.3  Human evaluation path</w:t>
      </w:r>
    </w:p>
    <w:p>
      <w:pPr>
        <w:pStyle w:val="ListParagraph"/>
        <w:numPr>
          <w:ilvl w:val="0"/>
          <w:numId w:val="1"/>
        </w:numPr>
        <w:spacing w:after="90" w:line="288"/>
      </w:pPr>
      <w:r>
        <w:t>Only authorised, provisioned volunteer Human Evaluators can submit Human Evaluation structured scoring and feedback through the React portal. They do not create or upload official Word reports.</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A user's first Human evaluation in a track requires admin review because no mode-specific baseline exists yet.</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After a baseline exists, a Human score is auto-approved unless it differs by more than ±15 points from the user's running average of prior approved Human scores in that same track.</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Flagged scores remain Pending Moderation until an admin approves them, requests re-review, or rejects the evaluation with a recorded reason.</w:t>
      </w:r>
    </w:p>
    <w:p>
      <w:pPr>
        <w:pStyle w:val="ListParagraph"/>
        <w:numPr>
          <w:ilvl w:val="0"/>
          <w:numId w:val="1"/>
        </w:numPr>
        <w:spacing w:after="90" w:line="288"/>
      </w:pPr>
      <w:r>
        <w:rPr>
          <w:rFonts w:ascii="Inter" w:cs="Inter" w:eastAsia="Inter" w:hAnsi="Inter"/>
          <w:b w:val="false"/>
          <w:bCs w:val="false"/>
          <w:i w:val="false"/>
          <w:iCs w:val="false"/>
          <w:caps w:val="false"/>
          <w:color w:val="16202B"/>
          <w:sz w:val="26"/>
          <w:szCs w:val="26"/>
        </w:rPr>
        <w:t xml:space="preserve">Human scores are never compared against AI scores for moderation because the two ranking pools are intentionally separate.</w:t>
      </w:r>
    </w:p>
    <w:p>
      <w:pPr>
        <w:pStyle w:val="ListParagraph"/>
        <w:numPr>
          <w:ilvl w:val="0"/>
          <w:numId w:val="1"/>
        </w:numPr>
        <w:spacing w:after="90" w:line="288"/>
      </w:pPr>
      <w:r>
        <w:t>Reviewer IDs, assignment provenance, criterion-level scores, evaluator submission versions, and applicable re-review history are logged for auditability and reviewer-calibration analysis.</w:t>
      </w:r>
    </w:p>
    <w:p>
      <w:r>
        <w:br w:type="page"/>
      </w:r>
    </w:p>
    <w:p>
      <w:pPr>
        <w:pStyle w:val="Heading2"/>
      </w:pPr>
      <w:r>
        <w:rPr>
          <w:rFonts w:ascii="Inter" w:cs="Inter" w:eastAsia="Inter" w:hAnsi="Inter"/>
          <w:b/>
          <w:bCs/>
          <w:i w:val="false"/>
          <w:iCs w:val="false"/>
          <w:caps w:val="false"/>
          <w:color w:val="0A3D6E"/>
          <w:sz w:val="30"/>
          <w:szCs w:val="30"/>
        </w:rPr>
        <w:t xml:space="preserve">9.4  Human assignment, submission, and re-review controls</w:t>
      </w:r>
    </w:p>
    <w:p>
      <w:pPr>
        <w:pStyle w:val="ListParagraph"/>
        <w:numPr>
          <w:ilvl w:val="0"/>
          <w:numId w:val="1"/>
        </w:numPr>
        <w:spacing w:after="90" w:line="288"/>
      </w:pPr>
      <w:r>
        <w:t>Admin assignment is the authoritative Human Evaluation work-routing mechanism. A Human request is Unassigned until an Admin selects one track-eligible Available volunteer. Exactly one active evaluator assignment may exist per Human Evaluation request; volunteers do not self-claim arbitrary requests.</w:t>
      </w:r>
    </w:p>
    <w:p>
      <w:pPr>
        <w:pStyle w:val="ListParagraph"/>
        <w:numPr>
          <w:ilvl w:val="0"/>
          <w:numId w:val="1"/>
        </w:numPr>
        <w:spacing w:after="90" w:line="288"/>
      </w:pPr>
      <w:r>
        <w:t>An assigned evaluator may Accept or Decline. Decline requires a reason and returns the request to Unassigned. Before evaluator submission, reassignment overrides/supersedes the prior assignment: the former evaluator loses active ownership/access, the new evaluator becomes the sole active assignee, and the assignment history is retained.</w:t>
      </w:r>
    </w:p>
    <w:p>
      <w:pPr>
        <w:pStyle w:val="ListParagraph"/>
        <w:numPr>
          <w:ilvl w:val="0"/>
          <w:numId w:val="1"/>
        </w:numPr>
        <w:spacing w:after="90" w:line="288"/>
      </w:pPr>
      <w:r>
        <w:t>The evaluator completes anchor-first scoring in the portal: for every criterion select Low / Competent / Excellent first, then choose the exact valid numeric score, and record timestamped evidence, strength, weakness, and actionable improvement advice; an Overall Summary is required. Submission locks that structured evaluator version and moves the task from Active Assignments to Completed/History. No .docx is uploaded by the evaluator. Evaluator submission remains separate from publication approval; Approved publication triggers backend report generation.</w:t>
      </w:r>
    </w:p>
    <w:p>
      <w:pPr>
        <w:pStyle w:val="ListParagraph"/>
        <w:numPr>
          <w:ilvl w:val="0"/>
          <w:numId w:val="1"/>
        </w:numPr>
        <w:spacing w:after="90" w:line="288"/>
      </w:pPr>
      <w:r>
        <w:t>Admins may approve, reject, or request re-review under the moderation rules, but may not directly rewrite evaluator criterion scores or the total score. Request Re-review formally reopens the evaluation to the relevant evaluator; the prior submission remains preserved and the subsequent resubmission is versioned/audited.</w:t>
      </w:r>
    </w:p>
    <w:p>
      <w:pPr>
        <w:pStyle w:val="ListParagraph"/>
        <w:numPr>
          <w:ilvl w:val="0"/>
          <w:numId w:val="1"/>
        </w:numPr>
        <w:spacing w:after="90" w:line="288"/>
      </w:pPr>
      <w:r>
        <w:t>Evaluator visibility should be limited to minimum-necessary submission context and exclude unnecessary prior-score, ranking, mastery, prior-feedback, and user-profile context that could bias scoring.</w:t>
      </w:r>
    </w:p>
    <w:p>
      <w:pPr>
        <w:pStyle w:val="Heading1"/>
      </w:pPr>
      <w:r>
        <w:rPr>
          <w:rFonts w:ascii="Inter" w:cs="Inter" w:eastAsia="Inter" w:hAnsi="Inter"/>
          <w:b/>
          <w:bCs/>
          <w:i w:val="false"/>
          <w:iCs w:val="false"/>
          <w:caps w:val="false"/>
          <w:color w:val="041B3B"/>
          <w:sz w:val="40"/>
          <w:szCs w:val="40"/>
        </w:rPr>
        <w:t xml:space="preserve">10.  Implementation Checklist</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2400"/>
        <w:gridCol w:w="5860"/>
        <w:gridCol w:w="1600"/>
      </w:tblGrid>
      <w:tr>
        <w:trPr>
          <w:cantSplit/>
          <w:tblHeader/>
        </w:trPr>
        <w:tc>
          <w:tcPr>
            <w:tcW w:type="dxa" w:w="24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Requirement</w:t>
            </w:r>
          </w:p>
        </w:tc>
        <w:tc>
          <w:tcPr>
            <w:tcW w:type="dxa" w:w="58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Implementation Rule</w:t>
            </w:r>
          </w:p>
        </w:tc>
        <w:tc>
          <w:tcPr>
            <w:tcW w:type="dxa" w:w="1600"/>
            <w:shd w:fill="041B3B" w:color="auto" w:val="clear"/>
            <w:tcMar>
              <w:top w:type="dxa" w:w="100"/>
              <w:left w:type="dxa" w:w="140"/>
              <w:bottom w:type="dxa" w:w="100"/>
              <w:right w:type="dxa" w:w="140"/>
            </w:tcMar>
            <w:vAlign w:val="top"/>
          </w:tcPr>
          <w:p>
            <w:pPr>
              <w:keepNext/>
              <w:spacing w:after="0" w:line="276"/>
              <w:jc w:val="center"/>
            </w:pPr>
            <w:r>
              <w:rPr>
                <w:rFonts w:ascii="Inter" w:cs="Inter" w:eastAsia="Inter" w:hAnsi="Inter"/>
                <w:b/>
                <w:bCs/>
                <w:i w:val="false"/>
                <w:iCs w:val="false"/>
                <w:caps w:val="false"/>
                <w:color w:val="FFFFFF"/>
                <w:sz w:val="26"/>
                <w:szCs w:val="26"/>
              </w:rPr>
              <w:t xml:space="preserve">Status</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Duration gate</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Validate .mp4 duration server-side against the track's accepted window before creating an evaluation record or dispatching to AI or human review.</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Leaderboard scope</w:t>
            </w:r>
          </w:p>
        </w:tc>
        <w:tc>
          <w:tcPr>
            <w:tcW w:type="dxa" w:w="5860"/>
            <w:shd w:fill="F4F8FC" w:color="auto" w:val="clear"/>
            <w:tcMar>
              <w:top w:type="dxa" w:w="100"/>
              <w:left w:type="dxa" w:w="140"/>
              <w:bottom w:type="dxa" w:w="100"/>
              <w:right w:type="dxa" w:w="140"/>
            </w:tcMar>
            <w:vAlign w:val="top"/>
          </w:tcPr>
          <w:p>
            <w:r>
              <w:t>Store track ID, evaluation mode, period attribution, submission timestamp/date, user ID, publication status, and Approved timestamp with every score.</w:t>
            </w:r>
          </w:p>
        </w:tc>
        <w:tc>
          <w:tcPr>
            <w:tcW w:type="dxa" w:w="160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Rating window</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Store the approval timestamp and submission ID with every score so the five-score window is reproducible and deterministic.</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Qualification</w:t>
            </w:r>
          </w:p>
        </w:tc>
        <w:tc>
          <w:tcPr>
            <w:tcW w:type="dxa" w:w="58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Publish only when the scope contains at least 3 approved evaluations.</w:t>
            </w:r>
          </w:p>
        </w:tc>
        <w:tc>
          <w:tcPr>
            <w:tcW w:type="dxa" w:w="160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ALR calculation</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Compute ALR = S(form) × D. Use the best four of the five most recent approved scores; use a plain average at 3 or 4 approved scores.</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Participation display</w:t>
            </w:r>
          </w:p>
        </w:tc>
        <w:tc>
          <w:tcPr>
            <w:tcW w:type="dxa" w:w="58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Show the total number of approved evaluations as a non-ranking column. Do not include it in the rating.</w:t>
            </w:r>
          </w:p>
        </w:tc>
        <w:tc>
          <w:tcPr>
            <w:tcW w:type="dxa" w:w="160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Decay</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Apply D only to All-Time rankings; set D = 1.00 for Monthly rankings.</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Moderation</w:t>
            </w:r>
          </w:p>
        </w:tc>
        <w:tc>
          <w:tcPr>
            <w:tcW w:type="dxa" w:w="58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Keep Pending Moderation and Rejected scores out of the rating window, progress metrics, and public rankings.</w:t>
            </w:r>
          </w:p>
        </w:tc>
        <w:tc>
          <w:tcPr>
            <w:tcW w:type="dxa" w:w="160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Mode toggle</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Provide AI and Human tabs on every track leaderboard without merging their data.</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Recalculation</w:t>
            </w:r>
          </w:p>
        </w:tc>
        <w:tc>
          <w:tcPr>
            <w:tcW w:type="dxa" w:w="5860"/>
            <w:shd w:fill="F4F8FC" w:color="auto" w:val="clear"/>
            <w:tcMar>
              <w:top w:type="dxa" w:w="100"/>
              <w:left w:type="dxa" w:w="140"/>
              <w:bottom w:type="dxa" w:w="100"/>
              <w:right w:type="dxa" w:w="140"/>
            </w:tcMar>
            <w:vAlign w:val="top"/>
          </w:tcPr>
          <w:p>
            <w:pPr>
              <w:keepNext w:val="false"/>
              <w:spacing w:after="0" w:line="276"/>
            </w:pPr>
            <w:r>
              <w:t>Recalculate the affected user, track, mode, and period when a score reaches final Approved or Rejected publication state and when later Approved scores change the sliding window.</w:t>
            </w:r>
          </w:p>
        </w:tc>
        <w:tc>
          <w:tcPr>
            <w:tcW w:type="dxa" w:w="160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Auditability</w:t>
            </w:r>
          </w:p>
        </w:tc>
        <w:tc>
          <w:tcPr>
            <w:tcW w:type="dxa" w:w="5860"/>
            <w:tcMar>
              <w:top w:type="dxa" w:w="100"/>
              <w:left w:type="dxa" w:w="140"/>
              <w:bottom w:type="dxa" w:w="100"/>
              <w:right w:type="dxa" w:w="140"/>
            </w:tcMar>
            <w:vAlign w:val="top"/>
          </w:tcPr>
          <w:p>
            <w:r>
              <w:t>Log evaluator/model version, prompt version for AI, criterion anchors/scores/structured feedback, moderation action, Admin ID, validation outcome, and final decision timestamp.</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Tie-breaking</w:t>
            </w:r>
          </w:p>
        </w:tc>
        <w:tc>
          <w:tcPr>
            <w:tcW w:type="dxa" w:w="58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Apply full-window average, then best single score, then earlier qualification timestamp.</w:t>
            </w:r>
          </w:p>
        </w:tc>
        <w:tc>
          <w:tcPr>
            <w:tcW w:type="dxa" w:w="1600"/>
            <w:shd w:fill="F4F8FC" w:color="auto" w:val="clear"/>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Submission concurrency</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Enforce at most one active evaluation request per user; release the gate on Approved, Rejected, or Cancelled.</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Approved-state finality</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Do not expose or implement a post-approval withdrawal/revocation state in the MVP.</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Private mastery</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Compute Track Mastery as the mean of all Approved AI + Human scores in track; compute Overall Auratio Mastery as the mean of represented Track Mastery values. Never feed these private combined values into public leaderboards.</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Evaluator assignment</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Store one active evaluator assignment per Human Evaluation request; assignment is Admin-controlled and filtered by evaluator track eligibility and manual availability.</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Assignment transitions</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Support Unassigned, Assigned, Accepted, In Evaluation, Submitted, Reassigned/Superseded, and Re-review/Reopened states independently from publication status.</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Decline/reassignment</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A decline records reason and returns to Unassigned. Pre-submission reassignment supersedes the prior assignment, revokes former active ownership/access, and preserves assignment history.</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Evaluator provenance</w:t>
            </w:r>
          </w:p>
        </w:tc>
        <w:tc>
          <w:tcPr>
            <w:tcW w:type="dxa" w:w="5860"/>
            <w:tcMar>
              <w:top w:type="dxa" w:w="100"/>
              <w:left w:type="dxa" w:w="140"/>
              <w:bottom w:type="dxa" w:w="100"/>
              <w:right w:type="dxa" w:w="140"/>
            </w:tcMar>
            <w:vAlign w:val="top"/>
          </w:tcPr>
          <w:p>
            <w:r>
              <w:t>Persist evaluator identity, assignment history, criterion anchors/scores/feedback, structured submission version, generated report reference after approval, and re-review/resubmission provenance.</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Submission locking</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Lock the evaluator version on submission. Move the task from Active Assignments to Completed/History; reopen only through formal re-review.</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rPr>
          <w:cantSplit/>
        </w:trPr>
        <w:tc>
          <w:tcPr>
            <w:tcW w:type="dxa" w:w="24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Admin score integrity</w:t>
            </w:r>
          </w:p>
        </w:tc>
        <w:tc>
          <w:tcPr>
            <w:tcW w:type="dxa" w:w="58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Admins may moderate by approve/reject/request re-review but must not directly rewrite evaluator criterion scores or total score.</w:t>
            </w:r>
          </w:p>
        </w:tc>
        <w:tc>
          <w:tcPr>
            <w:tcW w:type="dxa" w:w="1600"/>
            <w:tcMar>
              <w:top w:type="dxa" w:w="100"/>
              <w:left w:type="dxa" w:w="140"/>
              <w:bottom w:type="dxa" w:w="100"/>
              <w:right w:type="dxa" w:w="140"/>
            </w:tcMar>
            <w:vAlign w:val="top"/>
          </w:tcPr>
          <w:p>
            <w:pPr>
              <w:keepNext w:val="false"/>
              <w:spacing w:after="0" w:line="276"/>
              <w:jc w:val="center"/>
            </w:pPr>
            <w:r>
              <w:rPr>
                <w:rFonts w:ascii="Inter" w:cs="Inter" w:eastAsia="Inter" w:hAnsi="Inter"/>
                <w:b w:val="false"/>
                <w:bCs w:val="false"/>
                <w:i w:val="false"/>
                <w:iCs w:val="false"/>
                <w:caps w:val="false"/>
                <w:color w:val="16202B"/>
                <w:sz w:val="26"/>
                <w:szCs w:val="26"/>
              </w:rPr>
              <w:t xml:space="preserve">Required</w:t>
            </w:r>
          </w:p>
        </w:tc>
      </w:tr>
      <w:tr>
        <w:tc>
          <w:tcPr>
            <w:tcW w:type="dxa" w:w="2400"/>
          </w:tcPr>
          <w:p>
            <w:r>
              <w:t>Qualitative anchors</w:t>
            </w:r>
          </w:p>
        </w:tc>
        <w:tc>
          <w:tcPr>
            <w:tcW w:type="dxa" w:w="5860"/>
          </w:tcPr>
          <w:p>
            <w:r>
              <w:t>Store criterion-specific Low / Competent / Excellent anchor descriptors/configuration; Human portal must require anchor selection before exact numeric score.</w:t>
            </w:r>
          </w:p>
        </w:tc>
        <w:tc>
          <w:tcPr>
            <w:tcW w:type="dxa" w:w="1600"/>
          </w:tcPr>
          <w:p>
            <w:r>
              <w:t>Required</w:t>
            </w:r>
          </w:p>
        </w:tc>
      </w:tr>
      <w:tr>
        <w:tc>
          <w:tcPr>
            <w:tcW w:type="dxa" w:w="2400"/>
          </w:tcPr>
          <w:p>
            <w:r>
              <w:t>Structured criterion feedback</w:t>
            </w:r>
          </w:p>
        </w:tc>
        <w:tc>
          <w:tcPr>
            <w:tcW w:type="dxa" w:w="5860"/>
          </w:tcPr>
          <w:p>
            <w:r>
              <w:t>For every criterion persist anchor, exact score, timestamped evidence, strength, weakness, and actionable improvement advice; persist one Overall Summary per evaluation.</w:t>
            </w:r>
          </w:p>
        </w:tc>
        <w:tc>
          <w:tcPr>
            <w:tcW w:type="dxa" w:w="1600"/>
          </w:tcPr>
          <w:p>
            <w:r>
              <w:t>Required</w:t>
            </w:r>
          </w:p>
        </w:tc>
      </w:tr>
      <w:tr>
        <w:tc>
          <w:tcPr>
            <w:tcW w:type="dxa" w:w="2400"/>
          </w:tcPr>
          <w:p>
            <w:r>
              <w:t>AI JSON validation</w:t>
            </w:r>
          </w:p>
        </w:tc>
        <w:tc>
          <w:tcPr>
            <w:tcW w:type="dxa" w:w="5860"/>
          </w:tcPr>
          <w:p>
            <w:r>
              <w:t>Direct-video strict JSON; basic structure/scoring validation; usable output may auto-approve; failed or unusable output becomes Rejected. No AI retry or AI-failure moderation in MVP.</w:t>
            </w:r>
          </w:p>
        </w:tc>
        <w:tc>
          <w:tcPr>
            <w:tcW w:type="dxa" w:w="1600"/>
          </w:tcPr>
          <w:p>
            <w:r>
              <w:t>Required</w:t>
            </w:r>
          </w:p>
        </w:tc>
      </w:tr>
      <w:tr>
        <w:tc>
          <w:tcPr>
            <w:tcW w:type="dxa" w:w="2400"/>
          </w:tcPr>
          <w:p>
            <w:r>
              <w:t>Approved-only report generation</w:t>
            </w:r>
          </w:p>
        </w:tc>
        <w:tc>
          <w:tcPr>
            <w:tcW w:type="dxa" w:w="5860"/>
          </w:tcPr>
          <w:p>
            <w:r>
              <w:t>Generate the official standardized .docx deterministically from Approved structured evaluation data only; Human evaluators do not upload reports.</w:t>
            </w:r>
          </w:p>
        </w:tc>
        <w:tc>
          <w:tcPr>
            <w:tcW w:type="dxa" w:w="1600"/>
          </w:tcPr>
          <w:p>
            <w:r>
              <w:t>Required</w:t>
            </w:r>
          </w:p>
        </w:tc>
      </w:tr>
      <w:tr>
        <w:tc>
          <w:tcPr>
            <w:tcW w:type="dxa" w:w="2400"/>
          </w:tcPr>
          <w:p>
            <w:r>
              <w:t>Monthly attribution</w:t>
            </w:r>
          </w:p>
        </w:tc>
        <w:tc>
          <w:tcPr>
            <w:tcW w:type="dxa" w:w="5860"/>
          </w:tcPr>
          <w:p>
            <w:r>
              <w:t>Assign Monthly period membership by submission date while excluding all evaluations until they become Approved.</w:t>
            </w:r>
          </w:p>
        </w:tc>
        <w:tc>
          <w:tcPr>
            <w:tcW w:type="dxa" w:w="1600"/>
          </w:tcPr>
          <w:p>
            <w:r>
              <w:t>Required</w:t>
            </w:r>
          </w:p>
        </w:tc>
      </w:tr>
      <w:tr>
        <w:tc>
          <w:tcPr>
            <w:tcW w:type="dxa" w:w="2400"/>
          </w:tcPr>
          <w:p>
            <w:r>
              <w:t>Duplicate treatment</w:t>
            </w:r>
          </w:p>
        </w:tc>
        <w:tc>
          <w:tcPr>
            <w:tcW w:type="dxa" w:w="5860"/>
          </w:tcPr>
          <w:p>
            <w:r>
              <w:t>Permit exact and near-duplicate/re-encoded recordings; do not implement content hashing or duplicate-prevention as an MVP gate.</w:t>
            </w:r>
          </w:p>
        </w:tc>
        <w:tc>
          <w:tcPr>
            <w:tcW w:type="dxa" w:w="1600"/>
          </w:tcPr>
          <w:p>
            <w:r>
              <w:t>Required</w:t>
            </w:r>
          </w:p>
        </w:tc>
      </w:tr>
    </w:tbl>
    <w:p>
      <w:r>
        <w:br w:type="page"/>
      </w:r>
    </w:p>
    <w:p>
      <w:pPr>
        <w:pStyle w:val="Heading1"/>
      </w:pPr>
      <w:r>
        <w:rPr>
          <w:rFonts w:ascii="Inter" w:cs="Inter" w:eastAsia="Inter" w:hAnsi="Inter"/>
          <w:b/>
          <w:bCs/>
          <w:i w:val="false"/>
          <w:iCs w:val="false"/>
          <w:caps w:val="false"/>
          <w:color w:val="041B3B"/>
          <w:sz w:val="40"/>
          <w:szCs w:val="40"/>
        </w:rPr>
        <w:t>11.  Resolved Quality Decisions &amp; Deferred Enhancements</w:t>
      </w:r>
    </w:p>
    <w:p>
      <w:pPr>
        <w:spacing w:after="150" w:before="0" w:line="288"/>
      </w:pPr>
      <w:r>
        <w:t>This section records the quality decisions retained through Version 3.6 together with the Version 3.7 student-MVP AI simplification and the few enhancements that remain intentionally future-facing. Resolved items are not MVP TBDs.</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3200"/>
        <w:gridCol w:w="6660"/>
      </w:tblGrid>
      <w:tr>
        <w:trPr>
          <w:cantSplit/>
          <w:tblHeader/>
        </w:trPr>
        <w:tc>
          <w:tcPr>
            <w:tcW w:type="dxa" w:w="3200"/>
            <w:shd w:fill="041B3B" w:color="auto" w:val="clear"/>
            <w:tcMar>
              <w:top w:type="dxa" w:w="100"/>
              <w:left w:type="dxa" w:w="140"/>
              <w:bottom w:type="dxa" w:w="100"/>
              <w:right w:type="dxa" w:w="140"/>
            </w:tcMar>
            <w:vAlign w:val="top"/>
          </w:tcPr>
          <w:p>
            <w:r>
              <w:t>Item</w:t>
            </w:r>
          </w:p>
        </w:tc>
        <w:tc>
          <w:tcPr>
            <w:tcW w:type="dxa" w:w="6660"/>
            <w:shd w:fill="041B3B" w:color="auto" w:val="clear"/>
            <w:tcMar>
              <w:top w:type="dxa" w:w="100"/>
              <w:left w:type="dxa" w:w="140"/>
              <w:bottom w:type="dxa" w:w="100"/>
              <w:right w:type="dxa" w:w="140"/>
            </w:tcMar>
            <w:vAlign w:val="top"/>
          </w:tcPr>
          <w:p>
            <w:r>
              <w:t>MVP treatment</w:t>
            </w:r>
          </w:p>
        </w:tc>
      </w:tr>
      <w:tr>
        <w:trPr>
          <w:cantSplit/>
        </w:trPr>
        <w:tc>
          <w:tcPr>
            <w:tcW w:type="dxa" w:w="32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Submission integrity</w:t>
            </w:r>
          </w:p>
        </w:tc>
        <w:tc>
          <w:tcPr>
            <w:tcW w:type="dxa" w:w="6660"/>
            <w:tcMar>
              <w:top w:type="dxa" w:w="100"/>
              <w:left w:type="dxa" w:w="140"/>
              <w:bottom w:type="dxa" w:w="100"/>
              <w:right w:type="dxa" w:w="140"/>
            </w:tcMar>
            <w:vAlign w:val="top"/>
          </w:tcPr>
          <w:p>
            <w:r>
              <w:t>Resolved: exact duplicate recordings and near-duplicate/re-encoded versions are allowed. No content hashing or duplicate-prevention mechanism is required for MVP.</w:t>
            </w:r>
          </w:p>
        </w:tc>
      </w:tr>
      <w:tr>
        <w:trPr>
          <w:cantSplit/>
        </w:trPr>
        <w:tc>
          <w:tcPr>
            <w:tcW w:type="dxa" w:w="3200"/>
            <w:shd w:fill="F4F8FC" w:color="auto" w:val="clear"/>
            <w:tcMar>
              <w:top w:type="dxa" w:w="100"/>
              <w:left w:type="dxa" w:w="140"/>
              <w:bottom w:type="dxa" w:w="100"/>
              <w:right w:type="dxa" w:w="140"/>
            </w:tcMar>
            <w:vAlign w:val="top"/>
          </w:tcPr>
          <w:p>
            <w:pPr>
              <w:keepNext w:val="false"/>
              <w:spacing w:after="0" w:line="276"/>
            </w:pPr>
            <w:r>
              <w:t>In-app recording</w:t>
            </w:r>
          </w:p>
        </w:tc>
        <w:tc>
          <w:tcPr>
            <w:tcW w:type="dxa" w:w="6660"/>
            <w:shd w:fill="F4F8FC" w:color="auto" w:val="clear"/>
            <w:tcMar>
              <w:top w:type="dxa" w:w="100"/>
              <w:left w:type="dxa" w:w="140"/>
              <w:bottom w:type="dxa" w:w="100"/>
              <w:right w:type="dxa" w:w="140"/>
            </w:tcMar>
            <w:vAlign w:val="top"/>
          </w:tcPr>
          <w:p>
            <w:pPr>
              <w:keepNext w:val="false"/>
              <w:spacing w:after="0" w:line="276"/>
            </w:pPr>
            <w:r>
              <w:t>Not an MVP feature. Users submit an existing .mp4 file; Extempore spontaneity remains trust-based.</w:t>
            </w:r>
          </w:p>
        </w:tc>
      </w:tr>
      <w:tr>
        <w:trPr>
          <w:cantSplit/>
        </w:trPr>
        <w:tc>
          <w:tcPr>
            <w:tcW w:type="dxa" w:w="32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Evaluator-anchored moderation</w:t>
            </w:r>
          </w:p>
        </w:tc>
        <w:tc>
          <w:tcPr>
            <w:tcW w:type="dxa" w:w="66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The ±15 threshold in §9.3 is anchored to the user rather than the evaluator, so it flags genuine improvement and misses mild rater bias.</w:t>
            </w:r>
          </w:p>
        </w:tc>
      </w:tr>
      <w:tr>
        <w:trPr>
          <w:cantSplit/>
        </w:trPr>
        <w:tc>
          <w:tcPr>
            <w:tcW w:type="dxa" w:w="32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Sampling on the AI path</w:t>
            </w:r>
          </w:p>
        </w:tc>
        <w:tc>
          <w:tcPr>
            <w:tcW w:type="dxa" w:w="6660"/>
            <w:tcMar>
              <w:top w:type="dxa" w:w="100"/>
              <w:left w:type="dxa" w:w="140"/>
              <w:bottom w:type="dxa" w:w="100"/>
              <w:right w:type="dxa" w:w="140"/>
            </w:tcMar>
            <w:vAlign w:val="top"/>
          </w:tcPr>
          <w:p>
            <w:r>
              <w:t>Not required for MVP. Random AI double-scoring/sampling may be added later as a quality-monitoring enhancement.</w:t>
            </w:r>
          </w:p>
        </w:tc>
      </w:tr>
      <w:tr>
        <w:trPr>
          <w:cantSplit/>
        </w:trPr>
        <w:tc>
          <w:tcPr>
            <w:tcW w:type="dxa" w:w="32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Criterion-level scoring anchors</w:t>
            </w:r>
          </w:p>
        </w:tc>
        <w:tc>
          <w:tcPr>
            <w:tcW w:type="dxa" w:w="6660"/>
            <w:shd w:fill="F4F8FC" w:color="auto" w:val="clear"/>
            <w:tcMar>
              <w:top w:type="dxa" w:w="100"/>
              <w:left w:type="dxa" w:w="140"/>
              <w:bottom w:type="dxa" w:w="100"/>
              <w:right w:type="dxa" w:w="140"/>
            </w:tcMar>
            <w:vAlign w:val="top"/>
          </w:tcPr>
          <w:p>
            <w:r>
              <w:t>Resolved: every criterion uses criterion-specific Low / Competent / Excellent qualitative anchors. Anchors are reference points; intermediate numeric scores remain valid. Human scoring is anchor-first.</w:t>
            </w:r>
          </w:p>
        </w:tc>
      </w:tr>
      <w:tr>
        <w:trPr>
          <w:cantSplit/>
        </w:trPr>
        <w:tc>
          <w:tcPr>
            <w:tcW w:type="dxa" w:w="32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Voice-only submissions</w:t>
            </w:r>
          </w:p>
        </w:tc>
        <w:tc>
          <w:tcPr>
            <w:tcW w:type="dxa" w:w="6660"/>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Not supported in the MVP. Speaker visibility is mandatory, so voice-only and screen-only submissions are not accepted as normal evaluation types. Submission-type-specific scoring or rubric re-normalisation may be considered in a future release.</w:t>
            </w:r>
          </w:p>
        </w:tc>
      </w:tr>
      <w:tr>
        <w:trPr>
          <w:cantSplit/>
        </w:trPr>
        <w:tc>
          <w:tcPr>
            <w:tcW w:type="dxa" w:w="32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Criterion overlap</w:t>
            </w:r>
          </w:p>
        </w:tc>
        <w:tc>
          <w:tcPr>
            <w:tcW w:type="dxa" w:w="6660"/>
            <w:shd w:fill="F4F8FC" w:color="auto" w:val="clear"/>
            <w:tcMar>
              <w:top w:type="dxa" w:w="100"/>
              <w:left w:type="dxa" w:w="140"/>
              <w:bottom w:type="dxa" w:w="100"/>
              <w:right w:type="dxa" w:w="140"/>
            </w:tcMar>
            <w:vAlign w:val="top"/>
          </w:tcPr>
          <w:p>
            <w:r>
              <w:t>Resolved: Persuasive uses Objection anticipation and resistance handling; Business Pitch uses Competitive differentiation; Infotainment uses Information-entertainment balance; Marketing/Promotional uses Brand-message alignment.</w:t>
            </w:r>
          </w:p>
        </w:tc>
      </w:tr>
      <w:tr>
        <w:trPr>
          <w:cantSplit/>
        </w:trPr>
        <w:tc>
          <w:tcPr>
            <w:tcW w:type="dxa" w:w="3200"/>
            <w:tcMar>
              <w:top w:type="dxa" w:w="100"/>
              <w:left w:type="dxa" w:w="140"/>
              <w:bottom w:type="dxa" w:w="100"/>
              <w:right w:type="dxa" w:w="140"/>
            </w:tcMar>
            <w:vAlign w:val="top"/>
          </w:tcPr>
          <w:p>
            <w:pPr>
              <w:keepNext w:val="false"/>
              <w:spacing w:after="0" w:line="276"/>
            </w:pPr>
            <w:r>
              <w:rPr>
                <w:rFonts w:ascii="Inter" w:cs="Inter" w:eastAsia="Inter" w:hAnsi="Inter"/>
                <w:b/>
                <w:bCs/>
                <w:i w:val="false"/>
                <w:iCs w:val="false"/>
                <w:caps w:val="false"/>
                <w:color w:val="16202B"/>
                <w:sz w:val="26"/>
                <w:szCs w:val="26"/>
              </w:rPr>
              <w:t xml:space="preserve">Monthly period key</w:t>
            </w:r>
          </w:p>
        </w:tc>
        <w:tc>
          <w:tcPr>
            <w:tcW w:type="dxa" w:w="6660"/>
            <w:tcMar>
              <w:top w:type="dxa" w:w="100"/>
              <w:left w:type="dxa" w:w="140"/>
              <w:bottom w:type="dxa" w:w="100"/>
              <w:right w:type="dxa" w:w="140"/>
            </w:tcMar>
            <w:vAlign w:val="top"/>
          </w:tcPr>
          <w:p>
            <w:r>
              <w:t>Resolved in Version 3.5: Monthly period membership is keyed by submission date. An evaluation still enters qualification/rating only after Approved publication.</w:t>
            </w:r>
          </w:p>
        </w:tc>
      </w:tr>
    </w:tbl>
    <w:p>
      <w:r>
        <w:br w:type="page"/>
      </w:r>
    </w:p>
    <w:p>
      <w:pPr>
        <w:pStyle w:val="Heading1"/>
      </w:pPr>
      <w:r>
        <w:rPr>
          <w:rFonts w:ascii="Inter" w:cs="Inter" w:eastAsia="Inter" w:hAnsi="Inter"/>
          <w:b/>
          <w:bCs/>
          <w:i w:val="false"/>
          <w:iCs w:val="false"/>
          <w:caps w:val="false"/>
          <w:color w:val="041B3B"/>
          <w:sz w:val="40"/>
          <w:szCs w:val="40"/>
        </w:rPr>
        <w:t xml:space="preserve">12.  Revision Summary</w:t>
      </w:r>
    </w:p>
    <w:p>
      <w:pPr>
        <w:pStyle w:val="Heading2"/>
      </w:pPr>
      <w:r>
        <w:t>12.1  Version 3.7 student-MVP simplification pass</w:t>
      </w:r>
    </w:p>
    <w:p>
      <w:pPr>
        <w:pStyle w:val="Heading2"/>
      </w:pPr>
      <w:r>
        <w:t>Version 3.7 changes only AI failure handling: Gemini is called once; usable structured output may auto-approve after basic validation; failed or unusable output is Rejected. Automatic AI retry and AI-failure Pending Moderation are deferred. All Version 3.6 scoring, ALR, Human moderation, report, duplicate, visibility, Monthly-attribution, and video-lifecycle rules otherwise remain unchanged.</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4600"/>
        <w:gridCol w:w="5260"/>
      </w:tblGrid>
      <w:tr>
        <w:trPr>
          <w:cantSplit/>
          <w:tblHeader/>
        </w:trPr>
        <w:tc>
          <w:tcPr>
            <w:tcW w:type="dxa" w:w="4600"/>
            <w:shd w:fill="041B3B" w:color="auto" w:val="clear"/>
            <w:tcMar>
              <w:top w:type="dxa" w:w="100"/>
              <w:left w:type="dxa" w:w="140"/>
              <w:bottom w:type="dxa" w:w="100"/>
              <w:right w:type="dxa" w:w="140"/>
            </w:tcMar>
            <w:vAlign w:val="top"/>
          </w:tcPr>
          <w:p>
            <w:r>
              <w:t>Previous Issue</w:t>
            </w:r>
          </w:p>
        </w:tc>
        <w:tc>
          <w:tcPr>
            <w:tcW w:type="dxa" w:w="5260"/>
            <w:shd w:fill="041B3B" w:color="auto" w:val="clear"/>
            <w:tcMar>
              <w:top w:type="dxa" w:w="100"/>
              <w:left w:type="dxa" w:w="140"/>
              <w:bottom w:type="dxa" w:w="100"/>
              <w:right w:type="dxa" w:w="140"/>
            </w:tcMar>
            <w:vAlign w:val="top"/>
          </w:tcPr>
          <w:p>
            <w:r>
              <w:t>Resolved Rule</w:t>
            </w:r>
          </w:p>
        </w:tc>
      </w:tr>
      <w:tr>
        <w:tc>
          <w:tcPr>
            <w:tcW w:type="dxa" w:w="4600"/>
          </w:tcPr>
          <w:p>
            <w:r>
              <w:t>Duplicate-resubmission policy was unresolved.</w:t>
            </w:r>
          </w:p>
        </w:tc>
        <w:tc>
          <w:tcPr>
            <w:tcW w:type="dxa" w:w="5260"/>
          </w:tcPr>
          <w:p>
            <w:r>
              <w:t>Exact and near-duplicate/re-encoded recordings are allowed; no hashing or duplicate-prevention gate is implemented for MVP.</w:t>
            </w:r>
          </w:p>
        </w:tc>
      </w:tr>
      <w:tr>
        <w:tc>
          <w:tcPr>
            <w:tcW w:type="dxa" w:w="4600"/>
          </w:tcPr>
          <w:p>
            <w:r>
              <w:t>AI sampling/double-scoring was unresolved.</w:t>
            </w:r>
          </w:p>
        </w:tc>
        <w:tc>
          <w:tcPr>
            <w:tcW w:type="dxa" w:w="5260"/>
          </w:tcPr>
          <w:p>
            <w:r>
              <w:t>Not required for MVP; it remains an optional future quality-monitoring enhancement.</w:t>
            </w:r>
          </w:p>
        </w:tc>
      </w:tr>
      <w:tr>
        <w:tc>
          <w:tcPr>
            <w:tcW w:type="dxa" w:w="4600"/>
          </w:tcPr>
          <w:p>
            <w:r>
              <w:t>Criterion overlap double-counted hook/CTA-like skills.</w:t>
            </w:r>
          </w:p>
        </w:tc>
        <w:tc>
          <w:tcPr>
            <w:tcW w:type="dxa" w:w="5260"/>
          </w:tcPr>
          <w:p>
            <w:r>
              <w:t>Four criterion replacements remove the identified overlap without changing the four-by-10 track structure.</w:t>
            </w:r>
          </w:p>
        </w:tc>
      </w:tr>
      <w:tr>
        <w:tc>
          <w:tcPr>
            <w:tcW w:type="dxa" w:w="4600"/>
          </w:tcPr>
          <w:p>
            <w:r>
              <w:t>Criteria had weights but no qualitative reference anchors.</w:t>
            </w:r>
          </w:p>
        </w:tc>
        <w:tc>
          <w:tcPr>
            <w:tcW w:type="dxa" w:w="5260"/>
          </w:tcPr>
          <w:p>
            <w:r>
              <w:t>Every criterion uses criterion-specific Low / Competent / Excellent anchors; intermediate numeric scores remain valid.</w:t>
            </w:r>
          </w:p>
        </w:tc>
      </w:tr>
      <w:tr>
        <w:tc>
          <w:tcPr>
            <w:tcW w:type="dxa" w:w="4600"/>
          </w:tcPr>
          <w:p>
            <w:r>
              <w:t>Human scoring could begin with a bare numeric score.</w:t>
            </w:r>
          </w:p>
        </w:tc>
        <w:tc>
          <w:tcPr>
            <w:tcW w:type="dxa" w:w="5260"/>
          </w:tcPr>
          <w:p>
            <w:r>
              <w:t>The evaluator must select the qualitative anchor first, then the exact numeric score.</w:t>
            </w:r>
          </w:p>
        </w:tc>
      </w:tr>
      <w:tr>
        <w:tc>
          <w:tcPr>
            <w:tcW w:type="dxa" w:w="4600"/>
          </w:tcPr>
          <w:p>
            <w:r>
              <w:t>Criterion feedback structure was under-specified.</w:t>
            </w:r>
          </w:p>
        </w:tc>
        <w:tc>
          <w:tcPr>
            <w:tcW w:type="dxa" w:w="5260"/>
          </w:tcPr>
          <w:p>
            <w:r>
              <w:t>Every criterion stores anchor, exact score, timestamped evidence, strength, weakness, and actionable improvement advice, plus an Overall Summary.</w:t>
            </w:r>
          </w:p>
        </w:tc>
      </w:tr>
      <w:tr>
        <w:tc>
          <w:tcPr>
            <w:tcW w:type="dxa" w:w="4600"/>
          </w:tcPr>
          <w:p>
            <w:r>
              <w:t>Human evaluators uploaded Word reports manually.</w:t>
            </w:r>
          </w:p>
        </w:tc>
        <w:tc>
          <w:tcPr>
            <w:tcW w:type="dxa" w:w="5260"/>
          </w:tcPr>
          <w:p>
            <w:r>
              <w:t>Human evaluators submit structured portal data only; official .docx generation is deterministic and backend-owned after Approved publication.</w:t>
            </w:r>
          </w:p>
        </w:tc>
      </w:tr>
      <w:tr>
        <w:tc>
          <w:tcPr>
            <w:tcW w:type="dxa" w:w="4600"/>
          </w:tcPr>
          <w:p>
            <w:r>
              <w:t>AI output/report generation was loosely coupled.</w:t>
            </w:r>
          </w:p>
        </w:tc>
        <w:tc>
          <w:tcPr>
            <w:tcW w:type="dxa" w:w="5260"/>
          </w:tcPr>
          <w:p>
            <w:r>
              <w:t>Gemini returns strict JSON after direct-video evaluation. Auratio performs basic structure/scoring validation. Usable output may auto-approve; failed or unusable output becomes Rejected. AI retry and AI-failure moderation are deferred beyond the MVP.</w:t>
            </w:r>
          </w:p>
        </w:tc>
      </w:tr>
      <w:tr>
        <w:tc>
          <w:tcPr>
            <w:tcW w:type="dxa" w:w="4600"/>
          </w:tcPr>
          <w:p>
            <w:r>
              <w:t>Monthly scope used approval date.</w:t>
            </w:r>
          </w:p>
        </w:tc>
        <w:tc>
          <w:tcPr>
            <w:tcW w:type="dxa" w:w="5260"/>
          </w:tcPr>
          <w:p>
            <w:r>
              <w:t>Monthly period membership uses submission date, but only Approved evaluations count.</w:t>
            </w:r>
          </w:p>
        </w:tc>
      </w:tr>
      <w:tr>
        <w:tc>
          <w:tcPr>
            <w:tcW w:type="dxa" w:w="4600"/>
          </w:tcPr>
          <w:p>
            <w:r>
              <w:t>Participation explanation overstated neutrality.</w:t>
            </w:r>
          </w:p>
        </w:tc>
        <w:tc>
          <w:tcPr>
            <w:tcW w:type="dxa" w:w="5260"/>
          </w:tcPr>
          <w:p>
            <w:r>
              <w:t>No direct submission-volume bonus exists, but each new Approved submission can still change the active score window and may raise or lower ALR through its score.</w:t>
            </w:r>
          </w:p>
        </w:tc>
      </w:tr>
      <w:tr>
        <w:tc>
          <w:tcPr>
            <w:tcW w:type="dxa" w:w="4600"/>
          </w:tcPr>
          <w:p>
            <w:r>
              <w:t>Voice-only row sounded like an MVP implementation requirement.</w:t>
            </w:r>
          </w:p>
        </w:tc>
        <w:tc>
          <w:tcPr>
            <w:tcW w:type="dxa" w:w="5260"/>
          </w:tcPr>
          <w:p>
            <w:r>
              <w:t>Voice-only/screen-only submissions are explicitly unsupported in the MVP because speaker visibility is mandatory; alternative scoring/re-normalisation is future-facing only.</w:t>
            </w:r>
          </w:p>
        </w:tc>
      </w:tr>
      <w:tr>
        <w:tc>
          <w:tcPr>
            <w:tcW w:type="dxa" w:w="4600"/>
          </w:tcPr>
          <w:p>
            <w:r>
              <w:t>Literal track labels can contain filename-unsafe characters.</w:t>
            </w:r>
          </w:p>
        </w:tc>
        <w:tc>
          <w:tcPr>
            <w:tcW w:type="dxa" w:w="5260"/>
          </w:tcPr>
          <w:p>
            <w:r>
              <w:t>Where the report filename convention is referenced, use a canonical filesystem-safe TrackSlug rather than the literal track display label.</w:t>
            </w:r>
          </w:p>
        </w:tc>
      </w:tr>
    </w:tbl>
    <w:p>
      <w:pPr>
        <w:pStyle w:val="Heading2"/>
      </w:pPr>
      <w:r>
        <w:t>12.2  Version 3.3 and earlier changes, retained</w:t>
      </w:r>
    </w:p>
    <w:p>
      <w:pPr>
        <w:pStyle w:val="Heading2"/>
      </w:pPr>
      <w:r>
        <w:t>Version 3.3 and earlier locked the Human evaluator assignment/provenance model, one-active-request rule, existing-file upload, private mastery formulas, Approved-state finality, the sliding-window ALR model, mode-separated public leaderboards, duration gates, and the corrected tie-break explanation. Those compatible rules remain in force.</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4600"/>
        <w:gridCol w:w="5260"/>
      </w:tblGrid>
      <w:tr>
        <w:trPr>
          <w:cantSplit/>
          <w:tblHeader/>
        </w:trPr>
        <w:tc>
          <w:tcPr>
            <w:tcW w:type="dxa" w:w="46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Previous Issue</w:t>
            </w:r>
          </w:p>
        </w:tc>
        <w:tc>
          <w:tcPr>
            <w:tcW w:type="dxa" w:w="52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Resolved Rule</w:t>
            </w:r>
          </w:p>
        </w:tc>
      </w:tr>
      <w:tr>
        <w:tc>
          <w:tcPr>
            <w:tcW w:type="dxa" w:w="4600"/>
          </w:tcPr>
          <w:p>
            <w:r>
              <w:t>Evaluation-mode redirection had no defined end-user consent rule, risking an unwanted switch between AI and Human leaderboard paths.</w:t>
            </w:r>
          </w:p>
        </w:tc>
        <w:tc>
          <w:tcPr>
            <w:tcW w:type="dxa" w:w="5260"/>
          </w:tcPr>
          <w:p>
            <w:r>
              <w:t>A redirect requires explicit end-user consent. Accepting proceeds under the alternate method; declining cancels the evaluation request/session with no score or product-state effect.</w:t>
            </w:r>
          </w:p>
        </w:tc>
      </w:tr>
      <w:tr>
        <w:tc>
          <w:tcPr>
            <w:tcW w:type="dxa" w:w="4600"/>
          </w:tcPr>
          <w:p>
            <w:r>
              <w:t>The tie-break explanation incorrectly said the complete-window-average criterion was neutral for users with only 3–4 approved evaluations.</w:t>
            </w:r>
          </w:p>
        </w:tc>
        <w:tc>
          <w:tcPr>
            <w:tcW w:type="dxa" w:w="5260"/>
          </w:tcPr>
          <w:p>
            <w:r>
              <w:t>The tie-break algorithm is unchanged, but the explanation is corrected: the criterion is not necessarily neutral when tied ALR values arise under different activity-decay multipliers.</w:t>
            </w:r>
          </w:p>
        </w:tc>
      </w:tr>
      <w:tr>
        <w:tc>
          <w:tcPr>
            <w:tcW w:type="dxa" w:w="4600"/>
          </w:tcPr>
          <w:p>
            <w:r>
              <w:t>Submission concurrency was unresolved.</w:t>
            </w:r>
          </w:p>
        </w:tc>
        <w:tc>
          <w:tcPr>
            <w:tcW w:type="dxa" w:w="5260"/>
          </w:tcPr>
          <w:p>
            <w:r>
              <w:t>One active evaluation request per user is allowed; Approved, Rejected, or Cancelled releases the gate.</w:t>
            </w:r>
          </w:p>
        </w:tc>
      </w:tr>
      <w:tr>
        <w:tc>
          <w:tcPr>
            <w:tcW w:type="dxa" w:w="4600"/>
          </w:tcPr>
          <w:p>
            <w:r>
              <w:t>Private progress had no exact combined mastery formula.</w:t>
            </w:r>
          </w:p>
        </w:tc>
        <w:tc>
          <w:tcPr>
            <w:tcW w:type="dxa" w:w="5260"/>
          </w:tcPr>
          <w:p>
            <w:r>
              <w:t>Track Mastery averages all Approved AI + Human scores in-track; Overall Auratio Mastery averages represented Track Mastery values. Public leaderboards remain mode-separated.</w:t>
            </w:r>
          </w:p>
        </w:tc>
      </w:tr>
      <w:tr>
        <w:tc>
          <w:tcPr>
            <w:tcW w:type="dxa" w:w="4600"/>
          </w:tcPr>
          <w:p>
            <w:r>
              <w:t>Post-approval revocation had no defined MVP status.</w:t>
            </w:r>
          </w:p>
        </w:tc>
        <w:tc>
          <w:tcPr>
            <w:tcW w:type="dxa" w:w="5260"/>
          </w:tcPr>
          <w:p>
            <w:r>
              <w:t>Approved is terminal in the MVP; post-approval revocation is explicitly not supported.</w:t>
            </w:r>
          </w:p>
        </w:tc>
      </w:tr>
    </w:tbl>
    <w:p>
      <w:pPr>
        <w:spacing w:after="240"/>
      </w:pPr>
      <w:r>
        <w:rPr>
          <w:rFonts w:ascii="Inter" w:cs="Inter" w:eastAsia="Inter" w:hAnsi="Inter"/>
          <w:b w:val="false"/>
          <w:bCs w:val="false"/>
          <w:i w:val="false"/>
          <w:iCs w:val="false"/>
          <w:caps w:val="false"/>
          <w:color w:val="16202B"/>
          <w:sz w:val="26"/>
          <w:szCs w:val="26"/>
        </w:rPr>
        <w:t xml:space="preserve"/>
      </w:r>
    </w:p>
    <w:p>
      <w:pPr>
        <w:pStyle w:val="Heading2"/>
      </w:pPr>
      <w:r>
        <w:t>12.3  Version 3.1 changes, retained</w:t>
      </w:r>
    </w:p>
    <w:p>
      <w:pPr>
        <w:pStyle w:val="Heading2"/>
      </w:pPr>
      <w:r>
        <w:t>12.4  Version 3.0 changes, retained</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4600"/>
        <w:gridCol w:w="5260"/>
      </w:tblGrid>
      <w:tr>
        <w:trPr>
          <w:cantSplit/>
          <w:tblHeader/>
        </w:trPr>
        <w:tc>
          <w:tcPr>
            <w:tcW w:type="dxa" w:w="46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Previous Issue</w:t>
            </w:r>
          </w:p>
        </w:tc>
        <w:tc>
          <w:tcPr>
            <w:tcW w:type="dxa" w:w="52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Resolved Rule</w:t>
            </w:r>
          </w:p>
        </w:tc>
      </w:tr>
      <w:tr>
        <w:trPr>
          <w:cantSplit/>
        </w:trPr>
        <w:tc>
          <w:tcPr>
            <w:tcW w:type="dxa" w:w="46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rating rewarded submission volume. The peak component could only rise as more attempts were made, and the participation component rose with the submission count.</w:t>
            </w:r>
          </w:p>
        </w:tc>
        <w:tc>
          <w:tcPr>
            <w:tcW w:type="dxa" w:w="5260"/>
            <w:tcMar>
              <w:top w:type="dxa" w:w="100"/>
              <w:left w:type="dxa" w:w="140"/>
              <w:bottom w:type="dxa" w:w="100"/>
              <w:right w:type="dxa" w:w="140"/>
            </w:tcMar>
            <w:vAlign w:val="top"/>
          </w:tcPr>
          <w:p>
            <w:r>
              <w:t>The rating uses the best four of the five most recent Approved scores and no separate participation/peak-volume bonus. Additional submissions displace older scores rather than accumulating as a direct volume component; duplicate-resubmission prevention is not claimed in the MVP.</w:t>
            </w:r>
          </w:p>
        </w:tc>
      </w:tr>
      <w:tr>
        <w:trPr>
          <w:cantSplit/>
        </w:trPr>
        <w:tc>
          <w:tcPr>
            <w:tcW w:type="dxa" w:w="46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Participation both inflated ratings and compressed score differences at the top of the board.</w:t>
            </w:r>
          </w:p>
        </w:tc>
        <w:tc>
          <w:tcPr>
            <w:tcW w:type="dxa" w:w="52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Participation is removed from the rating and displayed as a separate non-ranking column.</w:t>
            </w:r>
          </w:p>
        </w:tc>
      </w:tr>
      <w:tr>
        <w:trPr>
          <w:cantSplit/>
        </w:trPr>
        <w:tc>
          <w:tcPr>
            <w:tcW w:type="dxa" w:w="46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 single exceptional score anchored a rating indefinitely at 70% weight.</w:t>
            </w:r>
          </w:p>
        </w:tc>
        <w:tc>
          <w:tcPr>
            <w:tcW w:type="dxa" w:w="52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 peak score counts in full for five submissions, then leaves the window.</w:t>
            </w:r>
          </w:p>
        </w:tc>
      </w:tr>
      <w:tr>
        <w:trPr>
          <w:cantSplit/>
        </w:trPr>
        <w:tc>
          <w:tcPr>
            <w:tcW w:type="dxa" w:w="46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 single poor performance was carried in the recent-form component with no allowance.</w:t>
            </w:r>
          </w:p>
        </w:tc>
        <w:tc>
          <w:tcPr>
            <w:tcW w:type="dxa" w:w="52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lowest of the five most recent scores is discarded, absorbing one weak result.</w:t>
            </w:r>
          </w:p>
        </w:tc>
      </w:tr>
      <w:tr>
        <w:trPr>
          <w:cantSplit/>
        </w:trPr>
        <w:tc>
          <w:tcPr>
            <w:tcW w:type="dxa" w:w="46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rating sat below the user's own reported scores until roughly 50 submissions had accumulated.</w:t>
            </w:r>
          </w:p>
        </w:tc>
        <w:tc>
          <w:tcPr>
            <w:tcW w:type="dxa" w:w="52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rating now shares the Submission Score scale and reads consistently with the user's evaluation reports.</w:t>
            </w:r>
          </w:p>
        </w:tc>
      </w:tr>
      <w:tr>
        <w:trPr>
          <w:cantSplit/>
        </w:trPr>
        <w:tc>
          <w:tcPr>
            <w:tcW w:type="dxa" w:w="46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min(100, …) cap was redundant once the weights summed to 100%.</w:t>
            </w:r>
          </w:p>
        </w:tc>
        <w:tc>
          <w:tcPr>
            <w:tcW w:type="dxa" w:w="52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The cap is removed. S(form) × D cannot exceed 100 by construction.</w:t>
            </w:r>
          </w:p>
        </w:tc>
      </w:tr>
      <w:tr>
        <w:trPr>
          <w:cantSplit/>
        </w:trPr>
        <w:tc>
          <w:tcPr>
            <w:tcW w:type="dxa" w:w="46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Tie-breaking referenced a Recent 3 average that no longer exists.</w:t>
            </w:r>
          </w:p>
        </w:tc>
        <w:tc>
          <w:tcPr>
            <w:tcW w:type="dxa" w:w="52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Tie-breaking uses the full five-score window average, then the best single score, then the qualification date.</w:t>
            </w:r>
          </w:p>
        </w:tc>
      </w:tr>
      <w:tr>
        <w:trPr>
          <w:cantSplit/>
        </w:trPr>
        <w:tc>
          <w:tcPr>
            <w:tcW w:type="dxa" w:w="46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Submissions of any length were scored on one 100-point scale, systematically favouring very short recordings.</w:t>
            </w:r>
          </w:p>
        </w:tc>
        <w:tc>
          <w:tcPr>
            <w:tcW w:type="dxa" w:w="52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Each track defines a duration range with a ±30-second grace band, enforced at upload before any evaluation is dispatched.</w:t>
            </w:r>
          </w:p>
        </w:tc>
      </w:tr>
    </w:tbl>
    <w:p>
      <w:pPr>
        <w:pStyle w:val="Heading2"/>
      </w:pPr>
      <w:r>
        <w:t>12.5  Version 2.0 changes, retained</w:t>
      </w:r>
    </w:p>
    <w:tbl>
      <w:tblPr>
        <w:tblW w:type="dxa" w:w="9860"/>
        <w:tblBorders>
          <w:top w:val="single" w:color="B2CAEB" w:sz="4"/>
          <w:left w:val="single" w:color="B2CAEB" w:sz="4"/>
          <w:bottom w:val="single" w:color="B2CAEB" w:sz="4"/>
          <w:right w:val="single" w:color="B2CAEB" w:sz="4"/>
          <w:insideH w:val="single" w:color="B2CAEB" w:sz="2"/>
          <w:insideV w:val="single" w:color="B2CAEB" w:sz="2"/>
        </w:tblBorders>
      </w:tblPr>
      <w:tblGrid>
        <w:gridCol w:w="4600"/>
        <w:gridCol w:w="5260"/>
      </w:tblGrid>
      <w:tr>
        <w:trPr>
          <w:cantSplit/>
          <w:tblHeader/>
        </w:trPr>
        <w:tc>
          <w:tcPr>
            <w:tcW w:type="dxa" w:w="460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Previous Issue</w:t>
            </w:r>
          </w:p>
        </w:tc>
        <w:tc>
          <w:tcPr>
            <w:tcW w:type="dxa" w:w="5260"/>
            <w:shd w:fill="041B3B" w:color="auto" w:val="clear"/>
            <w:tcMar>
              <w:top w:type="dxa" w:w="100"/>
              <w:left w:type="dxa" w:w="140"/>
              <w:bottom w:type="dxa" w:w="100"/>
              <w:right w:type="dxa" w:w="140"/>
            </w:tcMar>
            <w:vAlign w:val="top"/>
          </w:tcPr>
          <w:p>
            <w:pPr>
              <w:keepNext/>
              <w:spacing w:after="0" w:line="276"/>
            </w:pPr>
            <w:r>
              <w:rPr>
                <w:rFonts w:ascii="Inter" w:cs="Inter" w:eastAsia="Inter" w:hAnsi="Inter"/>
                <w:b/>
                <w:bCs/>
                <w:i w:val="false"/>
                <w:iCs w:val="false"/>
                <w:caps w:val="false"/>
                <w:color w:val="FFFFFF"/>
                <w:sz w:val="26"/>
                <w:szCs w:val="26"/>
              </w:rPr>
              <w:t xml:space="preserve">Resolved Rule</w:t>
            </w:r>
          </w:p>
        </w:tc>
      </w:tr>
      <w:tr>
        <w:trPr>
          <w:cantSplit/>
        </w:trPr>
        <w:tc>
          <w:tcPr>
            <w:tcW w:type="dxa" w:w="46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AI and Human scores entered one ranking without proven comparability.</w:t>
            </w:r>
          </w:p>
        </w:tc>
        <w:tc>
          <w:tcPr>
            <w:tcW w:type="dxa" w:w="52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AI and Human leaderboards are fully separated through a mode toggle.</w:t>
            </w:r>
          </w:p>
        </w:tc>
      </w:tr>
      <w:tr>
        <w:trPr>
          <w:cantSplit/>
        </w:trPr>
        <w:tc>
          <w:tcPr>
            <w:tcW w:type="dxa" w:w="46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Users qualified after 2 evaluations although the rating required more.</w:t>
            </w:r>
          </w:p>
        </w:tc>
        <w:tc>
          <w:tcPr>
            <w:tcW w:type="dxa" w:w="52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Qualification requires 3 approved evaluations in the same scope.</w:t>
            </w:r>
          </w:p>
        </w:tc>
      </w:tr>
      <w:tr>
        <w:trPr>
          <w:cantSplit/>
        </w:trPr>
        <w:tc>
          <w:tcPr>
            <w:tcW w:type="dxa" w:w="46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Immediate score synchronisation conflicted with moderation holds.</w:t>
            </w:r>
          </w:p>
        </w:tc>
        <w:tc>
          <w:tcPr>
            <w:tcW w:type="dxa" w:w="526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Only Approved scores update progress and public leaderboards; flagged scores remain Pending Moderation.</w:t>
            </w:r>
          </w:p>
        </w:tc>
      </w:tr>
      <w:tr>
        <w:trPr>
          <w:cantSplit/>
        </w:trPr>
        <w:tc>
          <w:tcPr>
            <w:tcW w:type="dxa" w:w="460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Activity decay was not clearly scoped or scheduled.</w:t>
            </w:r>
          </w:p>
        </w:tc>
        <w:tc>
          <w:tcPr>
            <w:tcW w:type="dxa" w:w="5260"/>
            <w:shd w:fill="F4F8FC" w:color="auto" w:val="clear"/>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Decay is specific to track and evaluation mode, applies only to All-Time rankings, and follows a fixed schedule.</w:t>
            </w:r>
          </w:p>
        </w:tc>
      </w:tr>
      <w:tr>
        <w:trPr>
          <w:cantSplit/>
        </w:trPr>
        <w:tc>
          <w:tcPr>
            <w:tcW w:type="dxa" w:w="4600"/>
            <w:tcMar>
              <w:top w:type="dxa" w:w="100"/>
              <w:left w:type="dxa" w:w="140"/>
              <w:bottom w:type="dxa" w:w="100"/>
              <w:right w:type="dxa" w:w="140"/>
            </w:tcMar>
            <w:vAlign w:val="top"/>
          </w:tcPr>
          <w:p>
            <w:pPr>
              <w:keepNext/>
              <w:spacing w:after="0" w:line="276"/>
            </w:pPr>
            <w:r>
              <w:rPr>
                <w:rFonts w:ascii="Inter" w:cs="Inter" w:eastAsia="Inter" w:hAnsi="Inter"/>
                <w:b w:val="false"/>
                <w:bCs w:val="false"/>
                <w:i w:val="false"/>
                <w:iCs w:val="false"/>
                <w:caps w:val="false"/>
                <w:color w:val="16202B"/>
                <w:sz w:val="26"/>
                <w:szCs w:val="26"/>
              </w:rPr>
              <w:t xml:space="preserve">Monthly reset behaviour was undefined.</w:t>
            </w:r>
          </w:p>
        </w:tc>
        <w:tc>
          <w:tcPr>
            <w:tcW w:type="dxa" w:w="5260"/>
            <w:tcMar>
              <w:top w:type="dxa" w:w="100"/>
              <w:left w:type="dxa" w:w="140"/>
              <w:bottom w:type="dxa" w:w="100"/>
              <w:right w:type="dxa" w:w="140"/>
            </w:tcMar>
            <w:vAlign w:val="top"/>
          </w:tcPr>
          <w:p>
            <w:r>
              <w:t>Monthly rankings require 3 Approved evaluations attributed to the calendar month of their submission dates; D = 1.00.</w:t>
            </w:r>
          </w:p>
        </w:tc>
      </w:tr>
      <w:tr>
        <w:trPr>
          <w:cantSplit/>
        </w:trPr>
        <w:tc>
          <w:tcPr>
            <w:tcW w:type="dxa" w:w="460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Track criteria lacked fixed subweights.</w:t>
            </w:r>
          </w:p>
        </w:tc>
        <w:tc>
          <w:tcPr>
            <w:tcW w:type="dxa" w:w="5260"/>
            <w:shd w:fill="F4F8FC" w:color="auto" w:val="clear"/>
            <w:tcMar>
              <w:top w:type="dxa" w:w="100"/>
              <w:left w:type="dxa" w:w="140"/>
              <w:bottom w:type="dxa" w:w="100"/>
              <w:right w:type="dxa" w:w="140"/>
            </w:tcMar>
            <w:vAlign w:val="top"/>
          </w:tcPr>
          <w:p>
            <w:pPr>
              <w:keepNext w:val="false"/>
              <w:spacing w:after="0" w:line="276"/>
            </w:pPr>
            <w:r>
              <w:rPr>
                <w:rFonts w:ascii="Inter" w:cs="Inter" w:eastAsia="Inter" w:hAnsi="Inter"/>
                <w:b w:val="false"/>
                <w:bCs w:val="false"/>
                <w:i w:val="false"/>
                <w:iCs w:val="false"/>
                <w:caps w:val="false"/>
                <w:color w:val="16202B"/>
                <w:sz w:val="26"/>
                <w:szCs w:val="26"/>
              </w:rPr>
              <w:t xml:space="preserve">Each track uses four criteria worth 10 points each, with universal criteria also subdivided.</w:t>
            </w:r>
          </w:p>
        </w:tc>
      </w:tr>
    </w:tbl>
    <w:p>
      <w:pPr>
        <w:spacing w:after="400"/>
      </w:pPr>
      <w:r>
        <w:rPr>
          <w:rFonts w:ascii="Inter" w:cs="Inter" w:eastAsia="Inter" w:hAnsi="Inter"/>
          <w:b w:val="false"/>
          <w:bCs w:val="false"/>
          <w:i w:val="false"/>
          <w:iCs w:val="false"/>
          <w:caps w:val="false"/>
          <w:color w:val="16202B"/>
          <w:sz w:val="26"/>
          <w:szCs w:val="26"/>
        </w:rPr>
        <w:t xml:space="preserve"/>
      </w:r>
    </w:p>
    <w:p>
      <w:pPr>
        <w:pBdr>
          <w:top w:val="single" w:color="B2CAEB" w:sz="6" w:space="10"/>
        </w:pBdr>
        <w:spacing w:before="300"/>
        <w:jc w:val="center"/>
      </w:pPr>
      <w:r>
        <w:rPr>
          <w:rFonts w:ascii="Inter" w:cs="Inter" w:eastAsia="Inter" w:hAnsi="Inter"/>
          <w:b/>
          <w:bCs/>
          <w:i w:val="false"/>
          <w:iCs w:val="false"/>
          <w:caps w:val="false"/>
          <w:color w:val="4A5A6B"/>
          <w:sz w:val="22"/>
          <w:szCs w:val="22"/>
        </w:rPr>
        <w:t xml:space="preserve">Auratio  ·  Where Greats Orate</w:t>
      </w:r>
    </w:p>
    <w:sectPr>
      <w:footerReference w:type="default" r:id="rId7"/>
      <w:headerReference w:type="default" r:id="rId9"/>
      <w:pgSz w:w="11906" w:h="16838" w:orient="portrait"/>
      <w:pgMar w:top="1133"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Inter" w:cs="Inter" w:eastAsia="Inter" w:hAnsi="Inter"/>
        <w:b w:val="false"/>
        <w:bCs w:val="false"/>
        <w:i w:val="false"/>
        <w:iCs w:val="false"/>
        <w:caps w:val="false"/>
        <w:color w:val="4A5A6B"/>
        <w:sz w:val="18"/>
        <w:szCs w:val="18"/>
      </w:rPr>
      <w:t xml:space="preserve">Auratio  ·  Scoring &amp; Leaderboard System Specification  ·  Version 3.7        </w:t>
    </w:r>
    <w:r>
      <w:rPr>
        <w:rFonts w:ascii="Inter" w:cs="Inter" w:eastAsia="Inter" w:hAnsi="Inter"/>
        <w:b/>
        <w:bCs/>
        <w:color w:val="4A5A6B"/>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6202B"/>
        <w:sz w:val="26"/>
        <w:szCs w:val="26"/>
      </w:rPr>
    </w:rPrDefault>
    <w:pPrDefault>
      <w:pPr>
        <w:spacing w:after="15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53A6E6" w:sz="8" w:space="10"/>
      </w:pBdr>
      <w:spacing w:after="240" w:before="240" w:line="400"/>
    </w:pPr>
    <w:rPr>
      <w:rFonts w:ascii="Inter" w:cs="Inter" w:eastAsia="Inter" w:hAnsi="Inter"/>
      <w:b/>
      <w:bCs/>
      <w:color w:val="041B3B"/>
      <w:sz w:val="40"/>
      <w:szCs w:val="40"/>
    </w:rPr>
  </w:style>
  <w:style w:type="paragraph" w:styleId="Heading2">
    <w:name w:val="Heading 2"/>
    <w:basedOn w:val="Normal"/>
    <w:next w:val="Normal"/>
    <w:qFormat/>
    <w:pPr>
      <w:keepNext/>
      <w:spacing w:after="170" w:before="320" w:line="330"/>
    </w:pPr>
    <w:rPr>
      <w:rFonts w:ascii="Inter" w:cs="Inter" w:eastAsia="Inter" w:hAnsi="Inter"/>
      <w:b/>
      <w:bCs/>
      <w:color w:val="0A3D6E"/>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Auratio Scoring &amp; Leaderboard System Specification v3.1</dc:title>
  <dc:creator>Auratio</dc:creator>
  <dc:description>Standardised evaluation framework, sliding-window rating engine, and dual-mode leaderboard structure.</dc:description>
  <cp:lastModifiedBy>Un-named</cp:lastModifiedBy>
  <cp:revision>1</cp:revision>
  <dcterms:created xsi:type="dcterms:W3CDTF">2026-08-23T13:48:13.588Z</dcterms:created>
  <dcterms:modified xsi:type="dcterms:W3CDTF">2026-08-23T13:48:13.588Z</dcterms:modified>
</cp:coreProperties>
</file>

<file path=docProps/custom.xml><?xml version="1.0" encoding="utf-8"?>
<Properties xmlns="http://schemas.openxmlformats.org/officeDocument/2006/custom-properties" xmlns:vt="http://schemas.openxmlformats.org/officeDocument/2006/docPropsVTypes"/>
</file>