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0198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Karim A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081513332575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Enggal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010200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