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E8A8A"/>
          <w:sz w:val="32"/>
        </w:rPr>
        <w:t>LAPORAN ANALISIS &amp; PERANCANGAN VISUALISASI DATA</w:t>
        <w:br/>
        <w:t>"PACIFIC UNDER PRESSURE"</w:t>
      </w:r>
    </w:p>
    <w:p>
      <w:pPr>
        <w:spacing w:after="360"/>
        <w:jc w:val="center"/>
      </w:pPr>
      <w:r>
        <w:rPr>
          <w:i/>
          <w:color w:val="777777"/>
          <w:sz w:val="19"/>
        </w:rPr>
        <w:t>Submission for Pacific DataViz Challenge 2026</w:t>
        <w:br/>
        <w:t>Kategori: Interactive Data Visualization Storyboard</w:t>
      </w:r>
    </w:p>
    <w:tbl>
      <w:tblPr>
        <w:tblW w:type="auto" w:w="0"/>
        <w:tblLayout w:type="fixed"/>
        <w:tblLook w:firstColumn="1" w:firstRow="1" w:lastColumn="0" w:lastRow="0" w:noHBand="0" w:noVBand="1" w:val="04A0"/>
      </w:tblPr>
      <w:tblGrid>
        <w:gridCol w:w="2592"/>
        <w:gridCol w:w="6768"/>
      </w:tblGrid>
      <w:tr>
        <w:tc>
          <w:tcPr>
            <w:tcW w:type="dxa" w:w="2592"/>
            <w:shd w:fill="F0F7F7"/>
          </w:tcPr>
          <w:p>
            <w:r>
              <w:rPr>
                <w:b/>
                <w:color w:val="0E8A8A"/>
                <w:sz w:val="19"/>
              </w:rPr>
              <w:t>Judul Karya</w:t>
            </w:r>
          </w:p>
        </w:tc>
        <w:tc>
          <w:tcPr>
            <w:tcW w:type="dxa" w:w="6768"/>
          </w:tcPr>
          <w:p>
            <w:r>
              <w:rPr>
                <w:sz w:val="19"/>
              </w:rPr>
              <w:t>Pacific Under Pressure: Interactive Scrollytelling on Climate Crisis and Island Resilience (2005–2023)</w:t>
            </w:r>
          </w:p>
        </w:tc>
      </w:tr>
      <w:tr>
        <w:tc>
          <w:tcPr>
            <w:tcW w:type="dxa" w:w="2592"/>
            <w:shd w:fill="F0F7F7"/>
          </w:tcPr>
          <w:p>
            <w:r>
              <w:rPr>
                <w:b/>
                <w:color w:val="0E8A8A"/>
                <w:sz w:val="19"/>
              </w:rPr>
              <w:t>Anggota Tim</w:t>
            </w:r>
          </w:p>
        </w:tc>
        <w:tc>
          <w:tcPr>
            <w:tcW w:type="dxa" w:w="6768"/>
          </w:tcPr>
          <w:p>
            <w:r>
              <w:rPr>
                <w:sz w:val="19"/>
              </w:rPr>
              <w:t>Muhammad Ilham Maulana &amp; Rifki Wijaya</w:t>
            </w:r>
          </w:p>
        </w:tc>
      </w:tr>
      <w:tr>
        <w:tc>
          <w:tcPr>
            <w:tcW w:type="dxa" w:w="2592"/>
            <w:shd w:fill="F0F7F7"/>
          </w:tcPr>
          <w:p>
            <w:r>
              <w:rPr>
                <w:b/>
                <w:color w:val="0E8A8A"/>
                <w:sz w:val="19"/>
              </w:rPr>
              <w:t>Tautan Web Live</w:t>
            </w:r>
          </w:p>
        </w:tc>
        <w:tc>
          <w:tcPr>
            <w:tcW w:type="dxa" w:w="6768"/>
          </w:tcPr>
          <w:p>
            <w:r>
              <w:rPr>
                <w:sz w:val="19"/>
              </w:rPr>
              <w:t>https://muhammadilhammaulana20.github.io/VISDAT_LOMBA_PACIFIC/</w:t>
            </w:r>
          </w:p>
        </w:tc>
      </w:tr>
      <w:tr>
        <w:tc>
          <w:tcPr>
            <w:tcW w:type="dxa" w:w="2592"/>
            <w:shd w:fill="F0F7F7"/>
          </w:tcPr>
          <w:p>
            <w:r>
              <w:rPr>
                <w:b/>
                <w:color w:val="0E8A8A"/>
                <w:sz w:val="19"/>
              </w:rPr>
              <w:t>Repositori GitHub</w:t>
            </w:r>
          </w:p>
        </w:tc>
        <w:tc>
          <w:tcPr>
            <w:tcW w:type="dxa" w:w="6768"/>
          </w:tcPr>
          <w:p>
            <w:r>
              <w:rPr>
                <w:sz w:val="19"/>
              </w:rPr>
              <w:t>https://github.com/muhammadilhammaulana20/VISDAT_LOMBA_PACIFIC</w:t>
            </w:r>
          </w:p>
        </w:tc>
      </w:tr>
    </w:tbl>
    <w:p>
      <w:pPr>
        <w:spacing w:after="120"/>
      </w:pPr>
    </w:p>
    <w:p>
      <w:pPr>
        <w:keepNext/>
        <w:spacing w:before="280" w:after="120"/>
      </w:pPr>
      <w:r>
        <w:rPr>
          <w:rFonts w:ascii="Arial" w:hAnsi="Arial"/>
          <w:b/>
          <w:color w:val="0E8A8A"/>
          <w:sz w:val="24"/>
        </w:rPr>
        <w:t>1. Latar Belakang dan Tujuan</w:t>
      </w:r>
    </w:p>
    <w:p>
      <w:pPr>
        <w:spacing w:after="120" w:line="276" w:lineRule="auto"/>
      </w:pPr>
      <w:r>
        <w:rPr>
          <w:sz w:val="21"/>
        </w:rPr>
        <w:t>Kepulauan Pasifik (*Pacific Island Countries* / PICs) merupakan kawasan yang memikul dampak terberat dari krisis iklim global. Meskipun negara-negara pulau kecil berkembang (*Small Island Developing States* / SIDS) di Pasifik hanya menyumbang kurang dari 0,03% emisi gas rumah kaca dunia, mereka berada di garis depan kehancuran ekologis. Pemanasan suhu laut memicu badai siklon tropis Kategori 5 dengan daya rusak ekstrem yang mampu menghapus puluhan tahun kemajuan pembangunan dalam hitungan jam. Di sisi lain, dunia internasional sering kali meromantisasi kawasan Pasifik semata-mata sebagai surga wisata tropis eksotis yang indah dan tenang, mengabaikan kenyataan bahwa ada jutaan nyawa yang terancam kehilangan tempat tinggal akibat kenaikan permukaan air laut dan cuaca ekstrem.</w:t>
      </w:r>
    </w:p>
    <w:p>
      <w:pPr>
        <w:spacing w:after="120" w:line="276" w:lineRule="auto"/>
      </w:pPr>
      <w:r>
        <w:rPr>
          <w:sz w:val="21"/>
        </w:rPr>
        <w:t>Proyek visualisasi data **Pacific Under Pressure** ini dirancang untuk mencapai dua tujuan utama: (1) Menyediakan analisis visual empiris dan terpadu mengenai korelasi antara anomali iklim fisik dengan dampak kemanusiaan serta kerugian finansial di 12 negara Pasifik dari tahun 2005 hingga 2023; dan (2) Menghadirkan jurnalisme data berbasis narasi visual interaktif (*scrollytelling*) untuk mendesak kesadaran global akan pentingnya peningkatan kapasitas adaptasi dan strategi Pengurangan Risiko Bencana (*Disaster Risk Reduction* - DRR) lokal yang masih tertinggal.</w:t>
      </w:r>
    </w:p>
    <w:p>
      <w:pPr>
        <w:keepNext/>
        <w:spacing w:before="280" w:after="120"/>
      </w:pPr>
      <w:r>
        <w:rPr>
          <w:rFonts w:ascii="Arial" w:hAnsi="Arial"/>
          <w:b/>
          <w:color w:val="0E8A8A"/>
          <w:sz w:val="24"/>
        </w:rPr>
        <w:t>2. Sumber Data</w:t>
      </w:r>
    </w:p>
    <w:p>
      <w:pPr>
        <w:spacing w:after="120" w:line="276" w:lineRule="auto"/>
      </w:pPr>
      <w:r>
        <w:rPr>
          <w:sz w:val="21"/>
        </w:rPr>
        <w:t>Semua indikator dan data dalam visualisasi ini bersumber dari basis data resmi kompetisi (Pacific Data Hub) dan badan pengawas internasional:</w:t>
      </w:r>
    </w:p>
    <w:p>
      <w:pPr>
        <w:spacing w:after="120" w:line="276" w:lineRule="auto"/>
        <w:ind w:left="360"/>
      </w:pPr>
      <w:r>
        <w:rPr>
          <w:b/>
          <w:sz w:val="21"/>
        </w:rPr>
        <w:t xml:space="preserve">• SDG Indicator 11.5.1 (Affected &amp; Fatalities): </w:t>
      </w:r>
      <w:r>
        <w:rPr>
          <w:sz w:val="21"/>
        </w:rPr>
        <w:t>Data jumlah warga terdampak langsung, korban meninggal dunia, dan orang hilang akibat bencana alam kumulatif per tahun.</w:t>
      </w:r>
    </w:p>
    <w:p>
      <w:pPr>
        <w:spacing w:after="120" w:line="276" w:lineRule="auto"/>
        <w:ind w:left="360"/>
      </w:pPr>
      <w:r>
        <w:rPr>
          <w:b/>
          <w:sz w:val="21"/>
        </w:rPr>
        <w:t xml:space="preserve">• SDG Indicator 11.5.2 (Direct Economic Loss): </w:t>
      </w:r>
      <w:r>
        <w:rPr>
          <w:sz w:val="21"/>
        </w:rPr>
        <w:t>Data nilai estimasi kerusakan fisik infrastruktur, pemukiman, dan sektor pertanian dalam mata uang USD.</w:t>
      </w:r>
    </w:p>
    <w:p>
      <w:pPr>
        <w:spacing w:after="120" w:line="276" w:lineRule="auto"/>
        <w:ind w:left="360"/>
      </w:pPr>
      <w:r>
        <w:rPr>
          <w:b/>
          <w:sz w:val="21"/>
        </w:rPr>
        <w:t xml:space="preserve">• SDG Indicator 11.b.2 (Sendai DRR Adoption): </w:t>
      </w:r>
      <w:r>
        <w:rPr>
          <w:sz w:val="21"/>
        </w:rPr>
        <w:t>Data tingkat adopsi regulasi mitigasi bencana di tingkat pemerintah daerah di bawah pengawasan UNDRR.</w:t>
      </w:r>
    </w:p>
    <w:p>
      <w:pPr>
        <w:spacing w:after="120" w:line="276" w:lineRule="auto"/>
        <w:ind w:left="360"/>
      </w:pPr>
      <w:r>
        <w:rPr>
          <w:b/>
          <w:sz w:val="21"/>
        </w:rPr>
        <w:t xml:space="preserve">• Indicator NMDI0002 (Pacific Population Growth): </w:t>
      </w:r>
      <w:r>
        <w:rPr>
          <w:sz w:val="21"/>
        </w:rPr>
        <w:t>Indikator pertumbuhan demografi lokal dari SPC stats sebagai basis pembagi rasio keterpaparan wilayah.</w:t>
      </w:r>
    </w:p>
    <w:p>
      <w:pPr>
        <w:spacing w:after="120" w:line="276" w:lineRule="auto"/>
        <w:ind w:left="360"/>
      </w:pPr>
      <w:r>
        <w:rPr>
          <w:b/>
          <w:sz w:val="21"/>
        </w:rPr>
        <w:t xml:space="preserve">• Ocean Climate Telemetry (SPC &amp; Copernicus): </w:t>
      </w:r>
      <w:r>
        <w:rPr>
          <w:sz w:val="21"/>
        </w:rPr>
        <w:t>Anomali Suhu Permukaan Laut (SST), deviasi curah hujan, dan laju kenaikan air laut global dari SPC Oceans and Tides Portal.</w:t>
      </w:r>
    </w:p>
    <w:p>
      <w:pPr>
        <w:keepNext/>
        <w:spacing w:before="280" w:after="120"/>
      </w:pPr>
      <w:r>
        <w:rPr>
          <w:rFonts w:ascii="Arial" w:hAnsi="Arial"/>
          <w:b/>
          <w:color w:val="0E8A8A"/>
          <w:sz w:val="24"/>
        </w:rPr>
        <w:t>3. Insight Utama (Key Insights)</w:t>
      </w:r>
    </w:p>
    <w:p>
      <w:pPr>
        <w:spacing w:after="120" w:line="276" w:lineRule="auto"/>
      </w:pPr>
      <w:r>
        <w:rPr>
          <w:sz w:val="21"/>
        </w:rPr>
        <w:t>Melalui visualisasi terintegrasi yang disajikan, dasbor ini berhasil mengungkap beberapa temuan krusial:</w:t>
      </w:r>
    </w:p>
    <w:p>
      <w:pPr>
        <w:spacing w:after="120" w:line="276" w:lineRule="auto"/>
        <w:ind w:left="360"/>
      </w:pPr>
      <w:r>
        <w:rPr>
          <w:b/>
          <w:sz w:val="21"/>
        </w:rPr>
        <w:t xml:space="preserve">• Kesenjangan Keterpaparan vs Kematian: </w:t>
      </w:r>
      <w:r>
        <w:rPr>
          <w:sz w:val="21"/>
        </w:rPr>
        <w:t>Fiji menyumbang 48% dari total warga terdampak di Pasifik (1,24 juta jiwa), menjadikannya negara dengan paparan bencana tertinggi. Namun, berkat sistem mitigasi sipil yang baik dan kesiapan evakuasi, Fiji berhasil menjaga rasio kematian (*mortality rate*) di tingkat terendah yaitu 0,05%.</w:t>
      </w:r>
    </w:p>
    <w:p>
      <w:pPr>
        <w:spacing w:after="120" w:line="276" w:lineRule="auto"/>
        <w:ind w:left="360"/>
      </w:pPr>
      <w:r>
        <w:rPr>
          <w:b/>
          <w:sz w:val="21"/>
        </w:rPr>
        <w:t xml:space="preserve">• Kerentanan Ekstrem Kematian di Papua Nugini: </w:t>
      </w:r>
      <w:r>
        <w:rPr>
          <w:sz w:val="21"/>
        </w:rPr>
        <w:t>Sebaliknya, Papua Nugini (PNG) mencatatkan tingkat kematian bencana tertinggi secara kumulatif mencapai 1.200 korban jiwa (*mortality rate* 1,21%). Analisis visual bubble chart mengungkap bahwa minimnya desentralisasi posko medis darurat ke area dataran tinggi pedalaman berbukit di PNG membuat penanganan evakuasi korban luka pasca-bencana berjalan sangat lambat.</w:t>
      </w:r>
    </w:p>
    <w:p>
      <w:pPr>
        <w:spacing w:after="120" w:line="276" w:lineRule="auto"/>
        <w:ind w:left="360"/>
      </w:pPr>
      <w:r>
        <w:rPr>
          <w:b/>
          <w:sz w:val="21"/>
        </w:rPr>
        <w:t xml:space="preserve">• Dampak Guncangan Makroekonomi: </w:t>
      </w:r>
      <w:r>
        <w:rPr>
          <w:sz w:val="21"/>
        </w:rPr>
        <w:t>Akibat kehancuran masif pada aset fisik, pariwisata, dan lahan pertanian, kerugian finansial wilayah Pasifik menembus $1,1 Miliar USD. Fiji menderita kerugian nominal tertinggi sebesar $616,9 Juta USD (setara 13,7% dari PDB nasionalnya), memaksa negara pulau kecil mengambil utang pembangunan baru yang memperlambat pemulihan ekonomi.</w:t>
      </w:r>
    </w:p>
    <w:p>
      <w:pPr>
        <w:spacing w:after="120" w:line="276" w:lineRule="auto"/>
        <w:ind w:left="360"/>
      </w:pPr>
      <w:r>
        <w:rPr>
          <w:b/>
          <w:sz w:val="21"/>
        </w:rPr>
        <w:t xml:space="preserve">• Hubungan Termal Suhu Laut dan Siklon: </w:t>
      </w:r>
      <w:r>
        <w:rPr>
          <w:sz w:val="21"/>
        </w:rPr>
        <w:t>Terdapat hubungan linier antara kenaikan anomali suhu laut (+1,15°C pada 2023) dengan peningkatan drastis energi termal udara basah. Hal ini secara langsung meningkatkan daya hancur badai siklon tropis Kategori 5 (seperti Siklon Winston 2016, Gita 2018, dan Yasa 2020) dengan waktu pemulihan antar-bencana yang semakin sempit bagi ekosistem atol.</w:t>
      </w:r>
    </w:p>
    <w:p>
      <w:pPr>
        <w:spacing w:after="120" w:line="276" w:lineRule="auto"/>
        <w:ind w:left="360"/>
      </w:pPr>
      <w:r>
        <w:rPr>
          <w:b/>
          <w:sz w:val="21"/>
        </w:rPr>
        <w:t xml:space="preserve">• Defisit Regulasi Kebijakan Mitigasi Lokal: </w:t>
      </w:r>
      <w:r>
        <w:rPr>
          <w:sz w:val="21"/>
        </w:rPr>
        <w:t>Meskipun populasi Pasifik meningkat pesat sebesar 31,8% selama periode pengamatan, 4 dari 5 negara dengan risiko dampak bencana tertinggi (Fiji, Kepulauan Solomon, PNG, dan Federasi Mikronesia) belum secara resmi menerapkan dan melaporkan regulasi cetak biru DRR lokal mereka ke Sendai Framework Monitor, menunjukkan defisit perlindungan hukum yang mendesak.</w:t>
      </w:r>
    </w:p>
    <w:p>
      <w:pPr>
        <w:keepNext/>
        <w:spacing w:before="280" w:after="120"/>
      </w:pPr>
      <w:r>
        <w:rPr>
          <w:rFonts w:ascii="Arial" w:hAnsi="Arial"/>
          <w:b/>
          <w:color w:val="0E8A8A"/>
          <w:sz w:val="24"/>
        </w:rPr>
        <w:t>4. Storytelling yang Digunakan (Data Storytelling)</w:t>
      </w:r>
    </w:p>
    <w:p>
      <w:pPr>
        <w:spacing w:after="120" w:line="276" w:lineRule="auto"/>
      </w:pPr>
      <w:r>
        <w:rPr>
          <w:sz w:val="21"/>
        </w:rPr>
        <w:t>Storytelling dasbor dirancang secara ketat berdasarkan prinsip-prinsip data storytelling teoretis yang disusun oleh Rifki Wijaya (bahwa data mentah tidak bergerak, namun cerita visual yang baik mampu menggerakkan empati dan perubahan: *'Data not getting any movement, story do'*):</w:t>
      </w:r>
    </w:p>
    <w:p>
      <w:pPr>
        <w:spacing w:after="120" w:line="276" w:lineRule="auto"/>
        <w:ind w:left="360"/>
      </w:pPr>
      <w:r>
        <w:rPr>
          <w:b/>
          <w:sz w:val="21"/>
        </w:rPr>
        <w:t xml:space="preserve">• Konsep Naratif Emosional "Calm vs Storm": </w:t>
      </w:r>
      <w:r>
        <w:rPr>
          <w:sz w:val="21"/>
        </w:rPr>
        <w:t>Dasbor diawali dengan kartu interaktif bertema 'The Illusion of Paradise vs. A Region Under Siege'. Saat pengguna mengarahkan kursor (*hover*), gelombang 3D laut biru toska yang tenang seketika berubah menjadi gelombang badai oranye kemerahan disertai kemunculan angka korban jiwa secara dramatis. Hal ini langsung mematahkan romantisasi estetika keindahan Pasifik sejak awal halaman.</w:t>
      </w:r>
    </w:p>
    <w:p>
      <w:pPr>
        <w:spacing w:after="120" w:line="276" w:lineRule="auto"/>
        <w:ind w:left="360"/>
      </w:pPr>
      <w:r>
        <w:rPr>
          <w:b/>
          <w:sz w:val="21"/>
        </w:rPr>
        <w:t xml:space="preserve">• Penggunaan Observational &amp; Additive Annotations: </w:t>
      </w:r>
      <w:r>
        <w:rPr>
          <w:sz w:val="21"/>
        </w:rPr>
        <w:t>Mengacu pada panduan penting slide presentasi untuk menghadirkan konteks 'in place' (langsung di tempat grafik), dasbor ini menggunakan *Observational &amp; Additive Annotations* pada titik-titik ekstrem visualisasi (seperti pelabelan langsung tahun 2016 sebagai puncak kehancuran Fiji akibat Siklon Winston), alih-alih meletakkannya di teks terpisah sehingga pembaca tidak kehilangan fokus.</w:t>
      </w:r>
    </w:p>
    <w:p>
      <w:pPr>
        <w:spacing w:after="120" w:line="276" w:lineRule="auto"/>
        <w:ind w:left="360"/>
      </w:pPr>
      <w:r>
        <w:rPr>
          <w:b/>
          <w:sz w:val="21"/>
        </w:rPr>
        <w:t xml:space="preserve">• Struktur Deduktif dan Reduksi Kepadatan Visual: </w:t>
      </w:r>
      <w:r>
        <w:rPr>
          <w:sz w:val="21"/>
        </w:rPr>
        <w:t>Menyederhanakan tampilan (*streamline clarity*) dengan menghindari penumpukan elemen visual (*visual clutter*) dan fokus pada alur deduktif *scrollytelling* (Act I - Act VIII) yang mengalir lancar dari analisis makro (seluruh samudra) ke mikro (profil detail per negara). Sistem navigasi bilah samping (*page-indicator*) mempermudah pembaca berpindah antar-bab tanpa bingung.</w:t>
      </w:r>
    </w:p>
    <w:p>
      <w:pPr>
        <w:keepNext/>
        <w:spacing w:before="280" w:after="120"/>
      </w:pPr>
      <w:r>
        <w:rPr>
          <w:rFonts w:ascii="Arial" w:hAnsi="Arial"/>
          <w:b/>
          <w:color w:val="0E8A8A"/>
          <w:sz w:val="24"/>
        </w:rPr>
        <w:t>5. Alasan Pemilihan Visualisasi</w:t>
      </w:r>
    </w:p>
    <w:p>
      <w:pPr>
        <w:spacing w:after="120" w:line="276" w:lineRule="auto"/>
      </w:pPr>
      <w:r>
        <w:rPr>
          <w:sz w:val="21"/>
        </w:rPr>
        <w:t>Pemilihan jenis grafik didasarkan pada fungsinya untuk menyampaikan kebenaran data secara intuitif:</w:t>
      </w:r>
    </w:p>
    <w:p>
      <w:pPr>
        <w:spacing w:after="120" w:line="276" w:lineRule="auto"/>
        <w:ind w:left="360"/>
      </w:pPr>
      <w:r>
        <w:rPr>
          <w:b/>
          <w:sz w:val="21"/>
        </w:rPr>
        <w:t xml:space="preserve">• Line Chart (Tren Waktu): </w:t>
      </w:r>
      <w:r>
        <w:rPr>
          <w:sz w:val="21"/>
        </w:rPr>
        <w:t>Dipilih untuk melacak tren perubahan curah hujan, anomali suhu permukaan laut, dan kenaikan air laut tahunan secara kontinu (2005–2023). Garis tren ini membantu pembaca memvisualisasikan gradien peningkatan anomali fisik iklim secara instan.</w:t>
      </w:r>
    </w:p>
    <w:p>
      <w:pPr>
        <w:spacing w:after="120" w:line="276" w:lineRule="auto"/>
        <w:ind w:left="360"/>
      </w:pPr>
      <w:r>
        <w:rPr>
          <w:b/>
          <w:sz w:val="21"/>
        </w:rPr>
        <w:t xml:space="preserve">• Horizontal Bar Chart (Komparasi Sektoral): </w:t>
      </w:r>
      <w:r>
        <w:rPr>
          <w:sz w:val="21"/>
        </w:rPr>
        <w:t>Digunakan untuk membandingkan populasi terdampak langsung di antara 12 negara Pasifik secara adil. Susunan horizontal memudahkan pembaca membandingkan perbedaan angka ekstrem dari kiri ke kanan secara vertikal tanpa distorsi sumbu.</w:t>
      </w:r>
    </w:p>
    <w:p>
      <w:pPr>
        <w:spacing w:after="120" w:line="276" w:lineRule="auto"/>
        <w:ind w:left="360"/>
      </w:pPr>
      <w:r>
        <w:rPr>
          <w:b/>
          <w:sz w:val="21"/>
        </w:rPr>
        <w:t xml:space="preserve">• Bubble Chart Tiga Dimensi (Dampak Kemanusiaan): </w:t>
      </w:r>
      <w:r>
        <w:rPr>
          <w:sz w:val="21"/>
        </w:rPr>
        <w:t>Visualisasi ini sangat krusial untuk memetakan tiga dimensi data kemanusiaan secara bersamaan: Warga Terdampak (Sumbu X), Korban Jiwa (Sumbu Y), dan Skala Orang Hilang (Radius Bubble). Grafik ini sukses menyoroti anomali kerentanan Papua Nugini secara dramatis bagi juri.</w:t>
      </w:r>
    </w:p>
    <w:p>
      <w:pPr>
        <w:spacing w:after="120" w:line="276" w:lineRule="auto"/>
        <w:ind w:left="360"/>
      </w:pPr>
      <w:r>
        <w:rPr>
          <w:b/>
          <w:sz w:val="21"/>
        </w:rPr>
        <w:t xml:space="preserve">• Interactive SVG GIS Map (Dimensi Spasial): </w:t>
      </w:r>
      <w:r>
        <w:rPr>
          <w:sz w:val="21"/>
        </w:rPr>
        <w:t>Peta interaktif orisinal berformat SVG murni yang sangat ringan untuk digunakan di wilayah dengan konektivitas terbatas di Pasifik. Peta ini berfungsi sebagai gerbang geografis interaktif yang terhubung langsung dengan panel data spotlight negara.</w:t>
      </w:r>
    </w:p>
    <w:p>
      <w:pPr>
        <w:keepNext/>
        <w:spacing w:before="280" w:after="120"/>
      </w:pPr>
      <w:r>
        <w:rPr>
          <w:rFonts w:ascii="Arial" w:hAnsi="Arial"/>
          <w:b/>
          <w:color w:val="0E8A8A"/>
          <w:sz w:val="24"/>
        </w:rPr>
        <w:t>6. Penjelasan Penggunaan Warna (Colormap)</w:t>
      </w:r>
    </w:p>
    <w:p>
      <w:pPr>
        <w:spacing w:after="120" w:line="276" w:lineRule="auto"/>
      </w:pPr>
      <w:r>
        <w:rPr>
          <w:sz w:val="21"/>
        </w:rPr>
        <w:t>Desain warna menolak penggunaan warna template AI instan, melainkan menerapkan palet warna gelap editorial premium yang bermakna kontras:</w:t>
      </w:r>
    </w:p>
    <w:p>
      <w:pPr>
        <w:spacing w:after="120" w:line="276" w:lineRule="auto"/>
        <w:ind w:left="360"/>
      </w:pPr>
      <w:r>
        <w:rPr>
          <w:b/>
          <w:sz w:val="21"/>
        </w:rPr>
        <w:t xml:space="preserve">• Pacific Teal (#0E8A8A): </w:t>
      </w:r>
      <w:r>
        <w:rPr>
          <w:sz w:val="21"/>
        </w:rPr>
        <w:t>Mewakili samudra yang luas, ketenangan, serta kredibilitas visualisasi data sains.</w:t>
      </w:r>
    </w:p>
    <w:p>
      <w:pPr>
        <w:spacing w:after="120" w:line="276" w:lineRule="auto"/>
        <w:ind w:left="360"/>
      </w:pPr>
      <w:r>
        <w:rPr>
          <w:b/>
          <w:sz w:val="21"/>
        </w:rPr>
        <w:t xml:space="preserve">• Coral Red (#FF6B4A): </w:t>
      </w:r>
      <w:r>
        <w:rPr>
          <w:sz w:val="21"/>
        </w:rPr>
        <w:t>Mewakili bahaya, angka kematian manusia, anomali suhu panas laut, dan badai destruktif.</w:t>
      </w:r>
    </w:p>
    <w:p>
      <w:pPr>
        <w:spacing w:after="120" w:line="276" w:lineRule="auto"/>
        <w:ind w:left="360"/>
      </w:pPr>
      <w:r>
        <w:rPr>
          <w:b/>
          <w:sz w:val="21"/>
        </w:rPr>
        <w:t xml:space="preserve">• Gold/Amber (#D9A441): </w:t>
      </w:r>
      <w:r>
        <w:rPr>
          <w:sz w:val="21"/>
        </w:rPr>
        <w:t>Mewakili kerugian ekonomi, kerusakan infrastruktur publik, dan beban finansial negara.</w:t>
      </w:r>
    </w:p>
    <w:p>
      <w:pPr>
        <w:spacing w:after="120" w:line="276" w:lineRule="auto"/>
        <w:ind w:left="360"/>
      </w:pPr>
      <w:r>
        <w:rPr>
          <w:b/>
          <w:sz w:val="21"/>
        </w:rPr>
        <w:t xml:space="preserve">• Adaptation Green (#3E8F5A): </w:t>
      </w:r>
      <w:r>
        <w:rPr>
          <w:sz w:val="21"/>
        </w:rPr>
        <w:t>Mewakili pemulihan, pertumbuhan ekologi, dan kesiapan strategi DRR.</w:t>
      </w:r>
    </w:p>
    <w:p>
      <w:pPr>
        <w:spacing w:after="120" w:line="276" w:lineRule="auto"/>
        <w:ind w:left="360"/>
      </w:pPr>
      <w:r>
        <w:rPr>
          <w:b/>
          <w:sz w:val="21"/>
        </w:rPr>
        <w:t xml:space="preserve">• Matte Dark Background (#060B0E): </w:t>
      </w:r>
      <w:r>
        <w:rPr>
          <w:sz w:val="21"/>
        </w:rPr>
        <w:t>Dipilih warna abu-abu arang sangat gelap matte (#060B0E) sebagai dasar halaman untuk memberikan kontras warna neon yang mewah, meminimalkan kelelahan mata (*eye strain*) juri, serta menciptakan suasana dramatis yang melambangkan krisis iklim.</w:t>
      </w:r>
    </w:p>
    <w:p>
      <w:pPr>
        <w:keepNext/>
        <w:spacing w:before="280" w:after="120"/>
      </w:pPr>
      <w:r>
        <w:rPr>
          <w:rFonts w:ascii="Arial" w:hAnsi="Arial"/>
          <w:b/>
          <w:color w:val="0E8A8A"/>
          <w:sz w:val="24"/>
        </w:rPr>
        <w:t>7. Kesesuaian Karya dengan Pacific Dataviz Challenge</w:t>
      </w:r>
    </w:p>
    <w:p>
      <w:pPr>
        <w:spacing w:after="120" w:line="276" w:lineRule="auto"/>
      </w:pPr>
      <w:r>
        <w:rPr>
          <w:sz w:val="21"/>
        </w:rPr>
        <w:t>Dasbor **Pacific Under Pressure** memiliki kesesuaian mutlak dengan tujuan utama Pacific DataViz Challenge 2026. Karya ini tidak hanya menyajikan lembar data mentah yang membosankan, melainkan merajutnya ke dalam sebuah jurnalisme visual interaktif yang mendalam, inklusif, dan responsif. Penggunaan teknologi modern (WebGL Shader 3D, Chart.js, GSAP) yang dioptimalkan memastikan visualisasi ini dapat diakses secara lancar oleh juri maupun masyarakat umum secara global baik lewat komputer maupun ponsel pintar, sejalan dengan misi mempromosikan pemahaman publik berbasis data di Kepulauan Pasifik.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