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Conclusion and Future Work</w:t>
      </w:r>
    </w:p>
    <w:p>
      <w:pPr>
        <w:pStyle w:val="Heading2"/>
      </w:pPr>
      <w:r>
        <w:t>6.1 Summary of Findings</w:t>
      </w:r>
    </w:p>
    <w:p>
      <w:r>
        <w:t>This research provided a rigorous empirical evaluation of the impact of AI-based Test-Driven Development (TDD) on software quality and development efficiency. The results from the study of 10 professional engineers at MSE Technology (Pakistan) across 30 experimental sessions revealed that AI integration significantly alters the TDD lifecycle. Fully AI-TDD achieved a substantial 48.50% reduction in development time compared to the Manual TDD baseline, reducing the mean task time from 26.60 to 13.70 minutes. However, this efficiency gain was accompanied by a notable quality deficit; Fully AI-TDD produced the highest defect density (μ = 7.20) and a mutation score of only 38.40%, significantly lower than the Manual baseline of 48.40%.</w:t>
      </w:r>
    </w:p>
    <w:p>
      <w:r>
        <w:t>In contrast, the Hybrid AI-Assisted mode demonstrated the most balanced performance profile. It achieved a 29.32% reduction in development time (μ = 18.80 min) while simultaneously reaching the peak mutation score of 58.30% and the lowest defect rate of 2.20 per task. These findings suggest that the integration of human oversight into the AI workflow not only maintains but enhances the quality of test oracles while preserving significant efficiency benefits.</w:t>
      </w:r>
    </w:p>
    <w:p>
      <w:pPr>
        <w:pStyle w:val="Heading2"/>
      </w:pPr>
      <w:r>
        <w:t>6.2 Answers to Research Questions</w:t>
      </w:r>
    </w:p>
    <w:p>
      <w:r>
        <w:t>RQ1: AI-based TDD provides a statistically significant improvement in development efficiency, with Fully AI-TDD and Hybrid modes reducing completion time by 48.5% and 29.3% respectively.</w:t>
      </w:r>
    </w:p>
    <w:p>
      <w:r>
        <w:t>RQ2: Full AI automation negatively impacts code quality by increasing defect density and producing 'shallow' test suites that fail to detect semantic mutations.</w:t>
      </w:r>
    </w:p>
    <w:p>
      <w:r>
        <w:t>RQ3: The Hybrid AI-Assisted model provides a superior trade-off, achieving higher quality metrics than Manual TDD while remaining significantly faster than traditional methods.</w:t>
      </w:r>
    </w:p>
    <w:p>
      <w:r>
        <w:t>RQ4: AI integration significantly reduces the cognitive load of developers, with the Hybrid mode providing a balanced mental workload that supports thoroughness without the fatigue of manual coding.</w:t>
      </w:r>
    </w:p>
    <w:p>
      <w:r>
        <w:t>RQ5: Human supervision is a non-negotiable requirement for maintaining the robustness of test oracles, as evidenced by the 20% mutation score gap between supervised and unsupervised AI modes.</w:t>
      </w:r>
    </w:p>
    <w:p>
      <w:pPr>
        <w:pStyle w:val="Heading2"/>
      </w:pPr>
      <w:r>
        <w:t>6.3 Recommendations</w:t>
      </w:r>
    </w:p>
    <w:p>
      <w:r>
        <w:t>Based on these empirical findings, the study recommends a contextual application of AI-TDD modes. Fully AI-TDD is highly recommended for rapid prototyping, internal utility development, and scenarios where speed is the primary constraint and code longevity is minimal. For mission-critical production systems, security-sensitive modules, and complex business logic, the Hybrid AI-Assisted mode is the recommended standard, as it ensures high mutation coverage and low defect density. Furthermore, the Hybrid mode should be utilized as a mentoring tool for junior developers, allowing them to review high-speed AI drafts to improve their understanding of test structure and edge-case identification.</w:t>
      </w:r>
    </w:p>
    <w:p>
      <w:pPr>
        <w:pStyle w:val="Heading2"/>
      </w:pPr>
      <w:r>
        <w:t>6.4 Limitations</w:t>
      </w:r>
    </w:p>
    <w:p>
      <w:r>
        <w:t>The findings of this study are subject to several limitations. The sample size was constrained to 10 participants (30 sessions total), which, while sufficient for observing large effect sizes, may not capture the full diversity of the global software engineering population. The study was localized to a single company, MSE Technology in Pakistan, and utilized a single task family (Login Service). Furthermore, the experiment relied on a specific family of Large Language Models (LLMs), and results may vary with different model architectures or prompt engineering frameworks.</w:t>
      </w:r>
    </w:p>
    <w:p>
      <w:pPr>
        <w:pStyle w:val="Heading2"/>
      </w:pPr>
      <w:r>
        <w:t>6.5 Future Work</w:t>
      </w:r>
    </w:p>
    <w:p>
      <w:r>
        <w:t>Future research will aim to expand the participant cohort to include multiple international sites and a broader range of architectural complexities beyond micro-services. A longitudinal study will be conducted to evaluate the long-term impact of AI-TDD on code maintainability and technical debt over multiple release cycles.</w:t>
      </w:r>
    </w:p>
    <w:p>
      <w:r>
        <w:t>Additionally, future work should explore the role of Multi-Agent AI systems in TDD, specifically investigating if specialized 'Tester Agents' can close the mutation score gap observed in this study. Further investigation is also required into the educational impact of AI-TDD, specifically how the use of AI in early career development influences the fundamental TDD skills and problem-solving patterns of new software engineers.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