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STATISTICAL ANALYSIS (ACADEMIC IMPROVEMENTS)</w:t>
      </w:r>
    </w:p>
    <w:p/>
    <w:p>
      <w:r>
        <w:rPr>
          <w:b/>
        </w:rPr>
        <w:t>I. REPEATED MEASURES ANOVA</w:t>
      </w:r>
    </w:p>
    <w:p>
      <w:r>
        <w:t xml:space="preserve">To account for the within-subjects experimental design, Repeated Measures ANOVA (RM-ANOVA) was utilized to analyze the quality metrics. </w:t>
      </w:r>
    </w:p>
    <w:p>
      <w:r>
        <w:t xml:space="preserve">For Mutation Score, the analysis revealed a statistically significant effect of TDD mode, F(2, 18) = 52.22, p &lt; 0.001. </w:t>
      </w:r>
    </w:p>
    <w:p>
      <w:r>
        <w:t xml:space="preserve">For Defect Density, a significant effect was also observed, F(2, 18) = 33.02, p &lt; 0.001. </w:t>
      </w:r>
    </w:p>
    <w:p>
      <w:r>
        <w:t xml:space="preserve">For Coverage %, the effect was significant, F(2, 18) = 16.19, p &lt; 0.001. </w:t>
      </w:r>
    </w:p>
    <w:p>
      <w:r>
        <w:t>These results provide robust evidence that the TDD paradigm strictly dictates the resulting software quality.</w:t>
      </w:r>
    </w:p>
    <w:p/>
    <w:p>
      <w:r>
        <w:rPr>
          <w:b/>
        </w:rPr>
        <w:t>II. QUALITY-EFFICIENCY COMPOSITE INDEX (QECI)</w:t>
      </w:r>
    </w:p>
    <w:p>
      <w:r>
        <w:t>To mathematically evaluate the optimal tradeoff (RQ3), a QECI was computed using a 60/40 weighted normalization model (Quality/Efficiency).</w:t>
      </w:r>
    </w:p>
    <w:p>
      <w:r>
        <w:t>The QECI rankings were calculated as follows:</w:t>
      </w:r>
    </w:p>
    <w:p>
      <w:r>
        <w:t>- Hybrid TDD: 0.766 (Rank 1)</w:t>
      </w:r>
    </w:p>
    <w:p>
      <w:r>
        <w:t>- Manual TDD: 0.601 (Rank 2)</w:t>
      </w:r>
    </w:p>
    <w:p>
      <w:r>
        <w:t>- Fully AI-TDD: 0.559 (Rank 3)</w:t>
      </w:r>
    </w:p>
    <w:p/>
    <w:p>
      <w:r>
        <w:t>Interpretation: The Hybrid model mathematically dominates the Pareto frontier because its slight reduction in temporal efficiency compared to Fully AI-TDD is vastly outweighed by its superiority in semantic quality (Mutation Score and Defect Density).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