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ИЗВЕЩЕНИЕ О ПРОВЕДЕНИИ ЭЛЕКТРОННОГО АУКЦИОНА</w:t>
      </w:r>
    </w:p>
    <w:p>
      <w:pPr>
        <w:jc w:val="center"/>
      </w:pPr>
      <w:r>
        <w:rPr>
          <w:i/>
        </w:rPr>
        <w:t>Оказание услуг по техническому обслуживанию и ремонту оргтехники для нужд государственного учреждения</w:t>
      </w:r>
    </w:p>
    <w:p/>
    <w:p>
      <w:r>
        <w:t>Заказчик: ГБУ «Городской центр информационных технологий»</w:t>
      </w:r>
    </w:p>
    <w:p>
      <w:r>
        <w:t>Адрес электронной площадки: https://zakupki.gov.ru (пример, тестовый документ)</w:t>
      </w:r>
    </w:p>
    <w:p>
      <w:r>
        <w:t>Способ определения поставщика: электронный аукцион</w:t>
      </w:r>
    </w:p>
    <w:p>
      <w:pPr>
        <w:pStyle w:val="Heading2"/>
      </w:pPr>
      <w:r>
        <w:t>1. Начальная (максимальная) цена контракта</w:t>
      </w:r>
    </w:p>
    <w:p>
      <w:r>
        <w:t>Начальная (максимальная) цена контракта составляет 4 850 000 (четыре миллиона восемьсот пятьдесят тысяч) рублей 00 копеек, включая НДС. Источник финансирования — бюджет города на 2026 год.</w:t>
      </w:r>
    </w:p>
    <w:p>
      <w:pPr>
        <w:pStyle w:val="Heading2"/>
      </w:pPr>
      <w:r>
        <w:t>2. Сроки выполнения работ (оказания услуг)</w:t>
      </w:r>
    </w:p>
    <w:p>
      <w:r>
        <w:t>Срок оказания услуг: с даты заключения контракта по 31 декабря 2026 года включительно. Услуги оказываются ежемесячно, с ежемесячным подписанием акта сдачи-приёмки в течение 5 (пяти) рабочих дней после окончания отчётного месяца.</w:t>
      </w:r>
    </w:p>
    <w:p>
      <w:pPr>
        <w:pStyle w:val="Heading2"/>
      </w:pPr>
      <w:r>
        <w:t>3. Требования к участникам закупки</w:t>
      </w:r>
    </w:p>
    <w:p>
      <w:pPr>
        <w:pStyle w:val="ListBullet"/>
      </w:pPr>
      <w:r>
        <w:t>Участник должен быть зарегистрирован в единой информационной системе (ЕИС) и аккредитован на электронной площадке;</w:t>
      </w:r>
    </w:p>
    <w:p>
      <w:pPr>
        <w:pStyle w:val="ListBullet"/>
      </w:pPr>
      <w:r>
        <w:t>Отсутствие сведений об участнике в реестре недобросовестных поставщиков;</w:t>
      </w:r>
    </w:p>
    <w:p>
      <w:pPr>
        <w:pStyle w:val="ListBullet"/>
      </w:pPr>
      <w:r>
        <w:t>Отсутствие процедуры ликвидации, банкротства или приостановления деятельности участника;</w:t>
      </w:r>
    </w:p>
    <w:p>
      <w:pPr>
        <w:pStyle w:val="ListBullet"/>
      </w:pPr>
      <w:r>
        <w:t>Отсутствие недоимки по налогам и сборам, превышающей 25 % балансовой стоимости активов;</w:t>
      </w:r>
    </w:p>
    <w:p>
      <w:pPr>
        <w:pStyle w:val="ListBullet"/>
      </w:pPr>
      <w:r>
        <w:t>Наличие опыта оказания аналогичных услуг за последние 3 года на сумму не менее 1 000 000 рублей (с приложением подтверждающих документов);</w:t>
      </w:r>
    </w:p>
    <w:p>
      <w:pPr>
        <w:pStyle w:val="ListBullet"/>
      </w:pPr>
      <w:r>
        <w:t>Наличие в штате не менее 2 (двух) квалифицированных специалистов по ремонту оргтехники с профильным образованием или сертификатами производителей;</w:t>
      </w:r>
    </w:p>
    <w:p>
      <w:pPr>
        <w:pStyle w:val="ListBullet"/>
      </w:pPr>
      <w:r>
        <w:t>Предоставление обеспечения заявки на участие в закупке в размере 1 % от НМЦК.</w:t>
      </w:r>
    </w:p>
    <w:p>
      <w:pPr>
        <w:pStyle w:val="Heading2"/>
      </w:pPr>
      <w:r>
        <w:t>4. Штрафы и неустойки за нарушение условий контракта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Нарушение</w:t>
            </w:r>
          </w:p>
        </w:tc>
        <w:tc>
          <w:tcPr>
            <w:tcW w:type="dxa" w:w="4320"/>
          </w:tcPr>
          <w:p>
            <w:r>
              <w:t>Размер штрафа/неустойки</w:t>
            </w:r>
          </w:p>
        </w:tc>
      </w:tr>
      <w:tr>
        <w:tc>
          <w:tcPr>
            <w:tcW w:type="dxa" w:w="4320"/>
          </w:tcPr>
          <w:p>
            <w:r>
              <w:t>Просрочка исполнения обязательств по контракту</w:t>
            </w:r>
          </w:p>
        </w:tc>
        <w:tc>
          <w:tcPr>
            <w:tcW w:type="dxa" w:w="4320"/>
          </w:tcPr>
          <w:p>
            <w:r>
              <w:t>0,1 % от цены контракта за каждый день просрочки, но не более 10 % от цены контракта</w:t>
            </w:r>
          </w:p>
        </w:tc>
      </w:tr>
      <w:tr>
        <w:tc>
          <w:tcPr>
            <w:tcW w:type="dxa" w:w="4320"/>
          </w:tcPr>
          <w:p>
            <w:r>
              <w:t>Ненадлежащее исполнение обязательств (некачественное оказание услуг)</w:t>
            </w:r>
          </w:p>
        </w:tc>
        <w:tc>
          <w:tcPr>
            <w:tcW w:type="dxa" w:w="4320"/>
          </w:tcPr>
          <w:p>
            <w:r>
              <w:t>Штраф в размере 5 % от цены контракта за каждый выявленный случай</w:t>
            </w:r>
          </w:p>
        </w:tc>
      </w:tr>
      <w:tr>
        <w:tc>
          <w:tcPr>
            <w:tcW w:type="dxa" w:w="4320"/>
          </w:tcPr>
          <w:p>
            <w:r>
              <w:t>Непредоставление отчётности в установленный срок</w:t>
            </w:r>
          </w:p>
        </w:tc>
        <w:tc>
          <w:tcPr>
            <w:tcW w:type="dxa" w:w="4320"/>
          </w:tcPr>
          <w:p>
            <w:r>
              <w:t>Штраф в размере 10 000 рублей за каждый факт нарушения</w:t>
            </w:r>
          </w:p>
        </w:tc>
      </w:tr>
      <w:tr>
        <w:tc>
          <w:tcPr>
            <w:tcW w:type="dxa" w:w="4320"/>
          </w:tcPr>
          <w:p>
            <w:r>
              <w:t>Односторонний отказ заказчика от исполнения контракта по вине исполнителя</w:t>
            </w:r>
          </w:p>
        </w:tc>
        <w:tc>
          <w:tcPr>
            <w:tcW w:type="dxa" w:w="4320"/>
          </w:tcPr>
          <w:p>
            <w:r>
              <w:t>Неустойка в размере 5 % от цены контракта</w:t>
            </w:r>
          </w:p>
        </w:tc>
      </w:tr>
    </w:tbl>
    <w:p/>
    <w:p>
      <w:r>
        <w:t>Настоящий документ является тестовым примером извещения о закупке и предназначен исключительно для проверки работы модуля извлечения данных из PDF-документов (имитация файла, скачанного с портала госзакупок).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