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0BD7" w14:textId="77777777" w:rsidR="00B9000C" w:rsidRDefault="00B9000C" w:rsidP="00B10DB9">
      <w:pPr>
        <w:jc w:val="both"/>
      </w:pPr>
    </w:p>
    <w:p w14:paraId="5E2709CC" w14:textId="3CC6E122" w:rsidR="00D7522C" w:rsidRDefault="006D67A1" w:rsidP="006D67A1">
      <w:pPr>
        <w:rPr>
          <w:sz w:val="48"/>
          <w:szCs w:val="48"/>
        </w:rPr>
      </w:pPr>
      <w:r>
        <w:rPr>
          <w:sz w:val="48"/>
          <w:szCs w:val="48"/>
        </w:rPr>
        <w:t xml:space="preserve">Agentic Artificial Intelligence </w:t>
      </w:r>
      <w:r w:rsidRPr="00F4384E">
        <w:rPr>
          <w:sz w:val="48"/>
          <w:szCs w:val="48"/>
        </w:rPr>
        <w:t>for Sustainable Finance: An Autonomous Approach to Green Investment</w:t>
      </w:r>
    </w:p>
    <w:p w14:paraId="03A0D54F" w14:textId="77777777" w:rsidR="006D67A1" w:rsidRPr="006D67A1" w:rsidRDefault="006D67A1" w:rsidP="006D67A1">
      <w:pPr>
        <w:rPr>
          <w:sz w:val="48"/>
          <w:szCs w:val="48"/>
        </w:rPr>
      </w:pPr>
    </w:p>
    <w:p w14:paraId="1AAFB38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type w:val="continuous"/>
          <w:pgSz w:w="11906" w:h="16838" w:code="9"/>
          <w:pgMar w:top="540" w:right="893" w:bottom="1440" w:left="893" w:header="720" w:footer="720" w:gutter="0"/>
          <w:cols w:space="720"/>
          <w:titlePg/>
          <w:docGrid w:linePitch="360"/>
        </w:sectPr>
      </w:pPr>
    </w:p>
    <w:p w14:paraId="6185E78D" w14:textId="77777777" w:rsidR="00BD670B" w:rsidRPr="00FC299C" w:rsidRDefault="00EE5E9F" w:rsidP="00BD670B">
      <w:pPr>
        <w:pStyle w:val="Author"/>
        <w:spacing w:before="100" w:beforeAutospacing="1"/>
        <w:rPr>
          <w:sz w:val="16"/>
          <w:szCs w:val="16"/>
        </w:rPr>
      </w:pPr>
      <w:r w:rsidRPr="00FC299C">
        <w:rPr>
          <w:sz w:val="16"/>
          <w:szCs w:val="16"/>
        </w:rPr>
        <w:t>Joshua Koshy</w:t>
      </w:r>
      <w:r w:rsidR="001A3B3D" w:rsidRPr="00FC299C">
        <w:rPr>
          <w:sz w:val="16"/>
          <w:szCs w:val="16"/>
        </w:rPr>
        <w:t xml:space="preserve"> </w:t>
      </w:r>
      <w:r w:rsidR="001A3B3D" w:rsidRPr="00FC299C">
        <w:rPr>
          <w:sz w:val="16"/>
          <w:szCs w:val="16"/>
        </w:rPr>
        <w:br/>
      </w:r>
      <w:r w:rsidR="00E65B7D" w:rsidRPr="00FC299C">
        <w:rPr>
          <w:i/>
          <w:iCs/>
          <w:sz w:val="16"/>
          <w:szCs w:val="16"/>
        </w:rPr>
        <w:t>School of Engineering</w:t>
      </w:r>
      <w:r w:rsidR="00E65B7D" w:rsidRPr="00FC299C">
        <w:rPr>
          <w:i/>
          <w:iCs/>
          <w:sz w:val="16"/>
          <w:szCs w:val="16"/>
        </w:rPr>
        <w:br/>
        <w:t>University of Wollongong in Dubai</w:t>
      </w:r>
      <w:r w:rsidR="00E65B7D" w:rsidRPr="00FC299C">
        <w:rPr>
          <w:i/>
          <w:sz w:val="16"/>
          <w:szCs w:val="16"/>
        </w:rPr>
        <w:br/>
      </w:r>
      <w:r w:rsidR="00E65B7D" w:rsidRPr="00FC299C">
        <w:rPr>
          <w:sz w:val="16"/>
          <w:szCs w:val="16"/>
        </w:rPr>
        <w:t>Dubai, United Arab Emirates</w:t>
      </w:r>
      <w:r w:rsidR="001A3B3D" w:rsidRPr="00FC299C">
        <w:rPr>
          <w:sz w:val="16"/>
          <w:szCs w:val="16"/>
        </w:rPr>
        <w:br/>
      </w:r>
      <w:r w:rsidR="00BB109F" w:rsidRPr="00FC299C">
        <w:rPr>
          <w:sz w:val="16"/>
          <w:szCs w:val="16"/>
        </w:rPr>
        <w:t>jjk319@uowmail.edu.au</w:t>
      </w:r>
    </w:p>
    <w:p w14:paraId="6910F2F2" w14:textId="014BD9FA" w:rsidR="001A3B3D" w:rsidRPr="00FC299C" w:rsidRDefault="00FA2654" w:rsidP="007B6DDA">
      <w:pPr>
        <w:pStyle w:val="Author"/>
        <w:spacing w:before="100" w:beforeAutospacing="1"/>
        <w:rPr>
          <w:sz w:val="16"/>
          <w:szCs w:val="16"/>
        </w:rPr>
      </w:pPr>
      <w:r>
        <w:rPr>
          <w:sz w:val="16"/>
          <w:szCs w:val="16"/>
        </w:rPr>
        <w:t>Muhammud Mapkar Nazir</w:t>
      </w:r>
      <w:r w:rsidR="00447BB9" w:rsidRPr="00FC299C">
        <w:rPr>
          <w:sz w:val="16"/>
          <w:szCs w:val="16"/>
        </w:rPr>
        <w:br/>
      </w:r>
      <w:r w:rsidR="00BB109F" w:rsidRPr="00FC299C">
        <w:rPr>
          <w:i/>
          <w:iCs/>
          <w:sz w:val="16"/>
          <w:szCs w:val="16"/>
        </w:rPr>
        <w:t>School of Engineering</w:t>
      </w:r>
      <w:r w:rsidR="00447BB9" w:rsidRPr="00FC299C">
        <w:rPr>
          <w:sz w:val="16"/>
          <w:szCs w:val="16"/>
        </w:rPr>
        <w:br/>
      </w:r>
      <w:r w:rsidR="00BB109F" w:rsidRPr="00FC299C">
        <w:rPr>
          <w:i/>
          <w:sz w:val="16"/>
          <w:szCs w:val="16"/>
        </w:rPr>
        <w:t>University of Wollongong in Dubai</w:t>
      </w:r>
      <w:r w:rsidR="00447BB9" w:rsidRPr="00FC299C">
        <w:rPr>
          <w:i/>
          <w:sz w:val="16"/>
          <w:szCs w:val="16"/>
        </w:rPr>
        <w:br/>
      </w:r>
      <w:r w:rsidR="00BB109F" w:rsidRPr="00FC299C">
        <w:rPr>
          <w:sz w:val="16"/>
          <w:szCs w:val="16"/>
        </w:rPr>
        <w:t>Dubai, United Arab Emirates</w:t>
      </w:r>
      <w:r w:rsidR="00447BB9" w:rsidRPr="00FC299C">
        <w:rPr>
          <w:sz w:val="16"/>
          <w:szCs w:val="16"/>
        </w:rPr>
        <w:br/>
      </w:r>
      <w:r>
        <w:rPr>
          <w:sz w:val="16"/>
          <w:szCs w:val="16"/>
        </w:rPr>
        <w:t>msm959</w:t>
      </w:r>
      <w:r w:rsidR="00BB109F" w:rsidRPr="00FC299C">
        <w:rPr>
          <w:sz w:val="16"/>
          <w:szCs w:val="16"/>
        </w:rPr>
        <w:t>@uow</w:t>
      </w:r>
      <w:r>
        <w:rPr>
          <w:sz w:val="16"/>
          <w:szCs w:val="16"/>
        </w:rPr>
        <w:t>mai</w:t>
      </w:r>
      <w:r w:rsidR="00BB109F" w:rsidRPr="00FC299C">
        <w:rPr>
          <w:sz w:val="16"/>
          <w:szCs w:val="16"/>
        </w:rPr>
        <w:t>.</w:t>
      </w:r>
      <w:r>
        <w:rPr>
          <w:sz w:val="16"/>
          <w:szCs w:val="16"/>
        </w:rPr>
        <w:t>edu.au</w:t>
      </w:r>
      <w:r w:rsidR="00BD670B" w:rsidRPr="00FC299C">
        <w:rPr>
          <w:sz w:val="16"/>
          <w:szCs w:val="16"/>
        </w:rPr>
        <w:br w:type="column"/>
      </w:r>
      <w:r w:rsidR="00EE5E9F" w:rsidRPr="00FC299C">
        <w:rPr>
          <w:sz w:val="16"/>
          <w:szCs w:val="16"/>
        </w:rPr>
        <w:t>Mayank Tadepalli</w:t>
      </w:r>
      <w:r w:rsidR="001A3B3D" w:rsidRPr="00FC299C">
        <w:rPr>
          <w:sz w:val="16"/>
          <w:szCs w:val="16"/>
        </w:rPr>
        <w:t xml:space="preserve"> </w:t>
      </w:r>
      <w:r w:rsidR="001A3B3D" w:rsidRPr="00FC299C">
        <w:rPr>
          <w:sz w:val="16"/>
          <w:szCs w:val="16"/>
        </w:rPr>
        <w:br/>
      </w:r>
      <w:r w:rsidR="00E65B7D" w:rsidRPr="00FC299C">
        <w:rPr>
          <w:i/>
          <w:iCs/>
          <w:sz w:val="16"/>
          <w:szCs w:val="16"/>
        </w:rPr>
        <w:t>School of Engineering</w:t>
      </w:r>
      <w:r w:rsidR="001A3B3D" w:rsidRPr="00FC299C">
        <w:rPr>
          <w:i/>
          <w:iCs/>
          <w:sz w:val="16"/>
          <w:szCs w:val="16"/>
        </w:rPr>
        <w:br/>
      </w:r>
      <w:r w:rsidR="00E65B7D" w:rsidRPr="00FC299C">
        <w:rPr>
          <w:i/>
          <w:iCs/>
          <w:sz w:val="16"/>
          <w:szCs w:val="16"/>
        </w:rPr>
        <w:t>University of Wollongong in Dubai</w:t>
      </w:r>
      <w:r w:rsidR="001A3B3D" w:rsidRPr="00FC299C">
        <w:rPr>
          <w:i/>
          <w:sz w:val="16"/>
          <w:szCs w:val="16"/>
        </w:rPr>
        <w:br/>
      </w:r>
      <w:r w:rsidR="00E65B7D" w:rsidRPr="00FC299C">
        <w:rPr>
          <w:sz w:val="16"/>
          <w:szCs w:val="16"/>
        </w:rPr>
        <w:t>Dubai, United Arab Emirates</w:t>
      </w:r>
      <w:r w:rsidR="001A3B3D" w:rsidRPr="00FC299C">
        <w:rPr>
          <w:sz w:val="16"/>
          <w:szCs w:val="16"/>
        </w:rPr>
        <w:br/>
      </w:r>
      <w:r w:rsidR="00E65B7D" w:rsidRPr="00FC299C">
        <w:rPr>
          <w:sz w:val="16"/>
          <w:szCs w:val="16"/>
        </w:rPr>
        <w:t>mt411@uowmail.edu.au</w:t>
      </w:r>
    </w:p>
    <w:p w14:paraId="4A452F3D" w14:textId="222E0C89" w:rsidR="001A3B3D" w:rsidRPr="00FC299C" w:rsidRDefault="00BB109F" w:rsidP="00BB109F">
      <w:pPr>
        <w:pStyle w:val="Author"/>
        <w:spacing w:before="100" w:beforeAutospacing="1"/>
        <w:rPr>
          <w:sz w:val="16"/>
          <w:szCs w:val="16"/>
        </w:rPr>
      </w:pPr>
      <w:r w:rsidRPr="00FC299C">
        <w:rPr>
          <w:sz w:val="16"/>
          <w:szCs w:val="16"/>
        </w:rPr>
        <w:t>Dr. M</w:t>
      </w:r>
      <w:r w:rsidR="00FA2654">
        <w:rPr>
          <w:sz w:val="16"/>
          <w:szCs w:val="16"/>
        </w:rPr>
        <w:t>ervat Madi</w:t>
      </w:r>
      <w:r w:rsidR="00447BB9" w:rsidRPr="00FC299C">
        <w:rPr>
          <w:sz w:val="16"/>
          <w:szCs w:val="16"/>
        </w:rPr>
        <w:br/>
      </w:r>
      <w:r w:rsidRPr="00FC299C">
        <w:rPr>
          <w:i/>
          <w:iCs/>
          <w:sz w:val="16"/>
          <w:szCs w:val="16"/>
        </w:rPr>
        <w:t>School of Engineering</w:t>
      </w:r>
      <w:r w:rsidRPr="00FC299C">
        <w:rPr>
          <w:i/>
          <w:iCs/>
          <w:sz w:val="16"/>
          <w:szCs w:val="16"/>
        </w:rPr>
        <w:br/>
        <w:t>University of Wollongong in Dubai</w:t>
      </w:r>
      <w:r w:rsidRPr="00FC299C">
        <w:rPr>
          <w:sz w:val="16"/>
          <w:szCs w:val="16"/>
        </w:rPr>
        <w:br/>
        <w:t>Dubai, United Arab Emirates</w:t>
      </w:r>
      <w:r w:rsidR="00447BB9" w:rsidRPr="00FC299C">
        <w:rPr>
          <w:sz w:val="16"/>
          <w:szCs w:val="16"/>
        </w:rPr>
        <w:br/>
      </w:r>
      <w:r w:rsidRPr="00FC299C">
        <w:rPr>
          <w:sz w:val="16"/>
          <w:szCs w:val="16"/>
        </w:rPr>
        <w:t>M</w:t>
      </w:r>
      <w:r w:rsidR="00FA2654">
        <w:rPr>
          <w:sz w:val="16"/>
          <w:szCs w:val="16"/>
        </w:rPr>
        <w:t>ervatMadi</w:t>
      </w:r>
      <w:r w:rsidRPr="00FC299C">
        <w:rPr>
          <w:sz w:val="16"/>
          <w:szCs w:val="16"/>
        </w:rPr>
        <w:t>@uowdubai.</w:t>
      </w:r>
      <w:r w:rsidR="00FA2654">
        <w:rPr>
          <w:sz w:val="16"/>
          <w:szCs w:val="16"/>
        </w:rPr>
        <w:t>ac.ae</w:t>
      </w:r>
      <w:r w:rsidR="00BD670B" w:rsidRPr="00FC299C">
        <w:rPr>
          <w:sz w:val="16"/>
          <w:szCs w:val="16"/>
        </w:rPr>
        <w:br w:type="column"/>
      </w:r>
      <w:r w:rsidR="001A3B3D" w:rsidRPr="00FC299C">
        <w:rPr>
          <w:sz w:val="16"/>
          <w:szCs w:val="16"/>
        </w:rPr>
        <w:t xml:space="preserve"> </w:t>
      </w:r>
      <w:r w:rsidR="00EE5E9F" w:rsidRPr="00FC299C">
        <w:rPr>
          <w:sz w:val="16"/>
          <w:szCs w:val="16"/>
        </w:rPr>
        <w:t>Safwaan Syed</w:t>
      </w:r>
      <w:r w:rsidR="001A3B3D" w:rsidRPr="00FC299C">
        <w:rPr>
          <w:sz w:val="16"/>
          <w:szCs w:val="16"/>
        </w:rPr>
        <w:br/>
      </w:r>
      <w:r w:rsidR="00E65B7D" w:rsidRPr="00FC299C">
        <w:rPr>
          <w:i/>
          <w:iCs/>
          <w:sz w:val="16"/>
          <w:szCs w:val="16"/>
        </w:rPr>
        <w:t>School of Engineering</w:t>
      </w:r>
      <w:r w:rsidR="00E65B7D" w:rsidRPr="00FC299C">
        <w:rPr>
          <w:i/>
          <w:iCs/>
          <w:sz w:val="16"/>
          <w:szCs w:val="16"/>
        </w:rPr>
        <w:br/>
        <w:t>University of Wollongong in Dubai</w:t>
      </w:r>
      <w:r w:rsidR="00E65B7D" w:rsidRPr="00FC299C">
        <w:rPr>
          <w:i/>
          <w:sz w:val="16"/>
          <w:szCs w:val="16"/>
        </w:rPr>
        <w:br/>
      </w:r>
      <w:r w:rsidR="00E65B7D" w:rsidRPr="00FC299C">
        <w:rPr>
          <w:sz w:val="16"/>
          <w:szCs w:val="16"/>
        </w:rPr>
        <w:t>Dubai, United Arab Emirates</w:t>
      </w:r>
      <w:r w:rsidR="001A3B3D" w:rsidRPr="00FC299C">
        <w:rPr>
          <w:sz w:val="16"/>
          <w:szCs w:val="16"/>
        </w:rPr>
        <w:br/>
      </w:r>
      <w:r w:rsidR="0087238C" w:rsidRPr="00FC299C">
        <w:rPr>
          <w:sz w:val="16"/>
          <w:szCs w:val="16"/>
        </w:rPr>
        <w:t>shs651@uowmail.edu.au</w:t>
      </w:r>
    </w:p>
    <w:p w14:paraId="21ED5098" w14:textId="77777777" w:rsidR="009F1D79" w:rsidRDefault="009F1D79">
      <w:pPr>
        <w:rPr>
          <w:sz w:val="16"/>
          <w:szCs w:val="16"/>
        </w:rPr>
      </w:pPr>
    </w:p>
    <w:p w14:paraId="1D9D9F00" w14:textId="567FD0CB" w:rsidR="00DF3875" w:rsidRDefault="00FA2654" w:rsidP="00DF3875">
      <w:pPr>
        <w:rPr>
          <w:sz w:val="16"/>
          <w:szCs w:val="16"/>
        </w:rPr>
      </w:pPr>
      <w:r>
        <w:rPr>
          <w:sz w:val="16"/>
          <w:szCs w:val="16"/>
        </w:rPr>
        <w:t>Dr. Mohd Fareq Abd Malek</w:t>
      </w:r>
    </w:p>
    <w:p w14:paraId="5B3224A1" w14:textId="6C2EC1B2" w:rsidR="00DF3875" w:rsidRPr="00FC299C" w:rsidRDefault="00DF3875" w:rsidP="00DF3875">
      <w:pPr>
        <w:rPr>
          <w:sz w:val="16"/>
          <w:szCs w:val="16"/>
        </w:rPr>
        <w:sectPr w:rsidR="00DF3875" w:rsidRPr="00FC299C" w:rsidSect="003B4E04">
          <w:type w:val="continuous"/>
          <w:pgSz w:w="11906" w:h="16838" w:code="9"/>
          <w:pgMar w:top="450" w:right="893" w:bottom="1440" w:left="893" w:header="720" w:footer="720" w:gutter="0"/>
          <w:cols w:num="3" w:space="720"/>
          <w:docGrid w:linePitch="360"/>
        </w:sectPr>
      </w:pPr>
      <w:r w:rsidRPr="00FC299C">
        <w:rPr>
          <w:i/>
          <w:iCs/>
          <w:sz w:val="16"/>
          <w:szCs w:val="16"/>
        </w:rPr>
        <w:t xml:space="preserve">School of </w:t>
      </w:r>
      <w:r w:rsidR="009E3C40">
        <w:rPr>
          <w:i/>
          <w:iCs/>
          <w:sz w:val="16"/>
          <w:szCs w:val="16"/>
        </w:rPr>
        <w:t>Engineering</w:t>
      </w:r>
      <w:r w:rsidRPr="00FC299C">
        <w:rPr>
          <w:i/>
          <w:iCs/>
          <w:sz w:val="16"/>
          <w:szCs w:val="16"/>
        </w:rPr>
        <w:br/>
        <w:t>University of Wollongong in Dubai</w:t>
      </w:r>
      <w:r w:rsidRPr="00FC299C">
        <w:rPr>
          <w:i/>
          <w:sz w:val="16"/>
          <w:szCs w:val="16"/>
        </w:rPr>
        <w:br/>
      </w:r>
      <w:r w:rsidRPr="00FC299C">
        <w:rPr>
          <w:sz w:val="16"/>
          <w:szCs w:val="16"/>
        </w:rPr>
        <w:t>Dubai,</w:t>
      </w:r>
      <w:r>
        <w:rPr>
          <w:sz w:val="16"/>
          <w:szCs w:val="16"/>
        </w:rPr>
        <w:t xml:space="preserve"> </w:t>
      </w:r>
      <w:r w:rsidRPr="00FC299C">
        <w:rPr>
          <w:sz w:val="16"/>
          <w:szCs w:val="16"/>
        </w:rPr>
        <w:t>United Arab Emirates</w:t>
      </w:r>
      <w:r w:rsidRPr="00FC299C">
        <w:rPr>
          <w:sz w:val="16"/>
          <w:szCs w:val="16"/>
        </w:rPr>
        <w:br/>
      </w:r>
      <w:r w:rsidR="00FA2654">
        <w:rPr>
          <w:sz w:val="16"/>
          <w:szCs w:val="16"/>
        </w:rPr>
        <w:t>MohamedFareqMalek@uowdubai.ac.ae</w:t>
      </w:r>
    </w:p>
    <w:p w14:paraId="2DB41CCA" w14:textId="77777777" w:rsidR="009303D9" w:rsidRPr="00FC299C" w:rsidRDefault="00BD670B">
      <w:pPr>
        <w:rPr>
          <w:sz w:val="16"/>
          <w:szCs w:val="16"/>
        </w:rPr>
        <w:sectPr w:rsidR="009303D9" w:rsidRPr="00FC299C" w:rsidSect="003B4E04">
          <w:type w:val="continuous"/>
          <w:pgSz w:w="11906" w:h="16838" w:code="9"/>
          <w:pgMar w:top="450" w:right="893" w:bottom="1440" w:left="893" w:header="720" w:footer="720" w:gutter="0"/>
          <w:cols w:num="3" w:space="720"/>
          <w:docGrid w:linePitch="360"/>
        </w:sectPr>
      </w:pPr>
      <w:r w:rsidRPr="00FC299C">
        <w:rPr>
          <w:sz w:val="16"/>
          <w:szCs w:val="16"/>
        </w:rPr>
        <w:br w:type="column"/>
      </w:r>
    </w:p>
    <w:p w14:paraId="569312FB" w14:textId="5F006F1F" w:rsidR="00DD70A4" w:rsidRPr="006D67A1" w:rsidRDefault="006D67A1" w:rsidP="005B235E">
      <w:pPr>
        <w:pStyle w:val="Abstract"/>
        <w:jc w:val="lowKashida"/>
      </w:pPr>
      <w:r w:rsidRPr="006D67A1">
        <w:rPr>
          <w:i/>
          <w:iCs/>
        </w:rPr>
        <w:t>Abstract</w:t>
      </w:r>
      <w:r w:rsidRPr="006D67A1">
        <w:t>—</w:t>
      </w:r>
      <w:r w:rsidR="00A06F5A" w:rsidRPr="00A06F5A">
        <w:rPr>
          <w:b w:val="0"/>
          <w:bCs w:val="0"/>
          <w:sz w:val="20"/>
          <w:szCs w:val="20"/>
        </w:rPr>
        <w:t xml:space="preserve"> </w:t>
      </w:r>
      <w:r w:rsidR="00E704EE" w:rsidRPr="00E704EE">
        <w:t>This paper presents FINESSE (Financial Intelligence for Navigated ESG Evaluation and Strategy Engine), an agentic AI-based portfolio allocation framework developed in-house to support sustainable investment decision-making. FINESSE integrates Environmental, Social, and Governance (ESG) indicators with traditional financial metrics to generate explainable and actionable investment insights. Designed with agentic capabilities, the system autonomously initiates and manages data acquisition, scoring, and portfolio recommendations — operating with minimal human intervention while maintaining transparency and interpretability. A hybrid scoring model normalizes and weights ESG and financial data to compute a composite Final Score for ranking companies. Real-time market data is retrieved via the Yahoo Finance API, and an interactive Streamlit dashboard visualizes performance trends. A locally hosted large language model (TinyLlama via Ollama) powers dataset-grounded natural language reasoning, ensuring privacy, factual grounding, and zero hallucinations — in contrast to cloud-dependent chatbot systems. Results demonstrate that FINESSE effectively bridges financial intelligence with sustainability analytics, offering a transparent, adaptable, and interpretable agentic AI-driven approach to responsible investing.</w:t>
      </w:r>
    </w:p>
    <w:p w14:paraId="71C1453A" w14:textId="5B901581" w:rsidR="009303D9" w:rsidRPr="00EC07FF" w:rsidRDefault="00DD70A4" w:rsidP="006D67A1">
      <w:pPr>
        <w:pStyle w:val="Abstract"/>
        <w:rPr>
          <w:i/>
          <w:iCs/>
        </w:rPr>
      </w:pPr>
      <w:r w:rsidRPr="00EC07FF">
        <w:rPr>
          <w:i/>
          <w:iCs/>
        </w:rPr>
        <w:t xml:space="preserve"> </w:t>
      </w:r>
      <w:r w:rsidR="006D67A1" w:rsidRPr="002236E8">
        <w:rPr>
          <w:i/>
          <w:iCs/>
        </w:rPr>
        <w:t>Keywords— Sustainable Finance, Environmental Social and Governance (ESG), Agentic Artificial Intelligence (AI), Financial Scoring, Portfolio Optimization, Explainable AI, Data-Driven Decision Support, Responsible Investment</w:t>
      </w:r>
      <w:r w:rsidR="006D67A1">
        <w:br/>
      </w:r>
    </w:p>
    <w:p w14:paraId="1E89A5BA" w14:textId="77777777" w:rsidR="009303D9" w:rsidRPr="00D632BE" w:rsidRDefault="009303D9" w:rsidP="006B6B66">
      <w:pPr>
        <w:pStyle w:val="Heading1"/>
      </w:pPr>
      <w:r w:rsidRPr="00D632BE">
        <w:t xml:space="preserve">Introduction </w:t>
      </w:r>
    </w:p>
    <w:p w14:paraId="21108360" w14:textId="0DAC5103" w:rsidR="006D67A1" w:rsidRDefault="006D67A1" w:rsidP="0057426F">
      <w:pPr>
        <w:ind w:firstLine="720"/>
        <w:contextualSpacing/>
        <w:jc w:val="both"/>
      </w:pPr>
      <w:r w:rsidRPr="00982F3E">
        <w:t xml:space="preserve">The world of financial decision-making has changed </w:t>
      </w:r>
      <w:r w:rsidR="001A0D20" w:rsidRPr="00982F3E">
        <w:t>because of</w:t>
      </w:r>
      <w:r w:rsidRPr="00982F3E">
        <w:t xml:space="preserve"> the growing emphasis on sustainability. Institutions and investors are now expected to assess social and environmental responsibility in addition to economic </w:t>
      </w:r>
      <w:r w:rsidR="001A0D20" w:rsidRPr="00982F3E">
        <w:t>performance</w:t>
      </w:r>
      <w:r w:rsidR="001A0D20">
        <w:t xml:space="preserve"> [1</w:t>
      </w:r>
      <w:r w:rsidR="00DA78B4">
        <w:t>,</w:t>
      </w:r>
      <w:r w:rsidR="001A0D20">
        <w:t>2]</w:t>
      </w:r>
      <w:r w:rsidRPr="00982F3E">
        <w:t xml:space="preserve">. </w:t>
      </w:r>
      <w:r w:rsidR="001A0D20" w:rsidRPr="00982F3E">
        <w:t>To</w:t>
      </w:r>
      <w:r w:rsidRPr="00982F3E">
        <w:t xml:space="preserve"> strike a balance between sustainability and profitability, this paradigm shift toward sustainable finance presents the difficulty of combining Environmental, Social, and Governance (ESG) indicators with conventional financial metrics. Dynamic, transparent decision-making is hindered by most current analytical tools, which are either static, data-limited, or inexplicable</w:t>
      </w:r>
      <w:r w:rsidR="001A0D20" w:rsidRPr="001A0D20">
        <w:rPr>
          <w:b/>
          <w:bCs/>
        </w:rPr>
        <w:t xml:space="preserve"> </w:t>
      </w:r>
      <w:r w:rsidR="001A0D20" w:rsidRPr="001A0D20">
        <w:t>[3].</w:t>
      </w:r>
      <w:r w:rsidRPr="00982F3E">
        <w:br/>
        <w:t>Autonomous financial evaluation systems now have more options thanks to recent developments in data-driven analytics and artificial intelligence (AI). Financial analytics can become more</w:t>
      </w:r>
      <w:r w:rsidRPr="006D67A1">
        <w:t xml:space="preserve"> </w:t>
      </w:r>
      <w:r w:rsidRPr="00982F3E">
        <w:t xml:space="preserve">interpretable and responsive with the help </w:t>
      </w:r>
      <w:r w:rsidRPr="00982F3E">
        <w:t>of agentic AI—systems that can reason on their own, understand context, and make decisions. Such systems can give investors actionable insights based on accountability and transparency by fusing real-time financial data with</w:t>
      </w:r>
      <w:r>
        <w:t xml:space="preserve"> explainable AI Reasoning</w:t>
      </w:r>
      <w:r w:rsidR="001A0D20" w:rsidRPr="001A0D20">
        <w:t xml:space="preserve"> [4</w:t>
      </w:r>
      <w:r w:rsidR="00DA78B4">
        <w:t>,</w:t>
      </w:r>
      <w:r w:rsidR="001A0D20" w:rsidRPr="001A0D20">
        <w:t>5].</w:t>
      </w:r>
    </w:p>
    <w:p w14:paraId="0881F9CD" w14:textId="1D9E1777" w:rsidR="00F31CF5" w:rsidRDefault="009467EA" w:rsidP="00707780">
      <w:pPr>
        <w:ind w:firstLine="360"/>
        <w:contextualSpacing/>
        <w:jc w:val="both"/>
      </w:pPr>
      <w:r w:rsidRPr="00982F3E">
        <w:t>To</w:t>
      </w:r>
      <w:r w:rsidR="006D67A1" w:rsidRPr="00982F3E">
        <w:t xml:space="preserve"> facilitate sustainable investment decisions through multi-criteria evaluation, this paper presents FINESSE (Financial Intelligence for Navigated ESG Evaluation and Strategy Engine), a hybrid AI framework. A local large language model is integrated for dataset-grounded natural language reasoning, sustainability trends are visualized, and ESG and financial scores are calculated using normalized data and weighted aggregation. The local model guarantees privacy, factual grounding, and zero hallucinations, in</w:t>
      </w:r>
      <w:r w:rsidR="0057426F">
        <w:t xml:space="preserve"> </w:t>
      </w:r>
      <w:r w:rsidR="006D67A1" w:rsidRPr="00982F3E">
        <w:t>contrast to cloud-dependent</w:t>
      </w:r>
      <w:r w:rsidR="0057426F">
        <w:t xml:space="preserve"> chatbots[11].</w:t>
      </w:r>
      <w:r w:rsidR="006D67A1" w:rsidRPr="001A0D20">
        <w:br/>
      </w:r>
      <w:r w:rsidR="006D67A1" w:rsidRPr="00982F3E">
        <w:t xml:space="preserve">This paper's remaining sections are organized as </w:t>
      </w:r>
      <w:r w:rsidR="001A0D20" w:rsidRPr="00982F3E">
        <w:t>follows:</w:t>
      </w:r>
      <w:r w:rsidR="00C67FCA" w:rsidRPr="00C67FCA">
        <w:t xml:space="preserve"> Data preprocessing, scoring models, visualization, and agentic workflow design are all covered in detail in Section II. Results and analysis are shown in Section III, and the model's interpretability and portfolio recommendations are validated in Section IV. Section V ends with important conclusions and suggestions for further research.</w:t>
      </w:r>
    </w:p>
    <w:p w14:paraId="0B2B8E19" w14:textId="77777777" w:rsidR="00F31CF5" w:rsidRDefault="00F31CF5" w:rsidP="000374BF">
      <w:pPr>
        <w:pStyle w:val="NormalWeb"/>
        <w:numPr>
          <w:ilvl w:val="0"/>
          <w:numId w:val="37"/>
        </w:numPr>
        <w:contextualSpacing/>
        <w:rPr>
          <w:i/>
          <w:iCs/>
          <w:sz w:val="20"/>
          <w:szCs w:val="20"/>
        </w:rPr>
      </w:pPr>
      <w:r w:rsidRPr="00F31CF5">
        <w:rPr>
          <w:i/>
          <w:iCs/>
          <w:sz w:val="20"/>
          <w:szCs w:val="20"/>
        </w:rPr>
        <w:t>Related Work and Research Gap</w:t>
      </w:r>
    </w:p>
    <w:p w14:paraId="6987C378" w14:textId="31BC20D1" w:rsidR="001A0D20" w:rsidRDefault="006D67A1" w:rsidP="00852906">
      <w:pPr>
        <w:jc w:val="both"/>
      </w:pPr>
      <w:r w:rsidRPr="00982F3E">
        <w:t>For portfolio analysis and scoring, recent work combines traditional financial data with Environmental, Social, and Governance (ESG) indicators using artificial intelligence and machine learning</w:t>
      </w:r>
      <w:r w:rsidR="001A0D20" w:rsidRPr="001A0D20">
        <w:rPr>
          <w:b/>
          <w:bCs/>
        </w:rPr>
        <w:t xml:space="preserve"> </w:t>
      </w:r>
      <w:r w:rsidR="001A0D20" w:rsidRPr="001A0D20">
        <w:t>[1</w:t>
      </w:r>
      <w:r w:rsidR="00DA78B4">
        <w:t>,</w:t>
      </w:r>
      <w:r w:rsidR="001A0D20" w:rsidRPr="001A0D20">
        <w:t>2,6]</w:t>
      </w:r>
      <w:r w:rsidRPr="001A0D20">
        <w:t>.</w:t>
      </w:r>
    </w:p>
    <w:p w14:paraId="1D4C5C93" w14:textId="2F269A8B" w:rsidR="006D67A1" w:rsidRPr="00982F3E" w:rsidRDefault="006D67A1" w:rsidP="0057426F">
      <w:pPr>
        <w:ind w:firstLine="360"/>
        <w:jc w:val="both"/>
        <w:rPr>
          <w:sz w:val="18"/>
          <w:szCs w:val="18"/>
        </w:rPr>
      </w:pPr>
      <w:r w:rsidRPr="00982F3E">
        <w:t>Studies and industry reports frequently point to two issues that restrict usability and trust: (1) rating divergence among major providers, including Bloomberg, Sustainalytics, Morgan Stanley Capital International (MSCI), and Refinitiv, which is caused by variations in scope,</w:t>
      </w:r>
      <w:r>
        <w:t xml:space="preserve"> </w:t>
      </w:r>
      <w:r w:rsidRPr="00982F3E">
        <w:t xml:space="preserve">measurement, and weighting; and (2) the inability of many models, particularly deep neural networks, to explain how inputs drive outputs, which makes auditability more </w:t>
      </w:r>
      <w:r w:rsidRPr="001A0D20">
        <w:t>difficult</w:t>
      </w:r>
      <w:r w:rsidR="001A0D20" w:rsidRPr="001A0D20">
        <w:t xml:space="preserve"> [4</w:t>
      </w:r>
      <w:r w:rsidR="00DA78B4">
        <w:t>,</w:t>
      </w:r>
      <w:r w:rsidR="001A0D20" w:rsidRPr="001A0D20">
        <w:t>5].</w:t>
      </w:r>
      <w:r w:rsidRPr="00982F3E">
        <w:t xml:space="preserve"> While practitioner commentary highlights ongoing data gaps that threaten strong ESG integration, parallel literature in Explainable Artificial Intelligence promotes transparent approache</w:t>
      </w:r>
      <w:r w:rsidRPr="001A0D20">
        <w:t>s</w:t>
      </w:r>
      <w:r w:rsidR="001A0D20" w:rsidRPr="001A0D20">
        <w:t xml:space="preserve"> [4</w:t>
      </w:r>
      <w:r w:rsidR="00DA78B4">
        <w:t>,</w:t>
      </w:r>
      <w:r w:rsidR="001A0D20" w:rsidRPr="001A0D20">
        <w:t>5].</w:t>
      </w:r>
    </w:p>
    <w:p w14:paraId="49196E4B" w14:textId="5548BF5A" w:rsidR="00F31CF5" w:rsidRPr="001A0D20" w:rsidRDefault="006D67A1" w:rsidP="0057426F">
      <w:pPr>
        <w:ind w:firstLine="360"/>
        <w:jc w:val="both"/>
        <w:rPr>
          <w:b/>
          <w:bCs/>
        </w:rPr>
      </w:pPr>
      <w:r w:rsidRPr="00937C21">
        <w:t xml:space="preserve">Current tools either use black-box models with little transparency and poor local adaptability, or they rely on </w:t>
      </w:r>
      <w:r w:rsidRPr="00937C21">
        <w:lastRenderedPageBreak/>
        <w:t>opaque vendor scores that can vary significantly. A</w:t>
      </w:r>
      <w:r>
        <w:t xml:space="preserve"> </w:t>
      </w:r>
      <w:r w:rsidRPr="00937C21">
        <w:t>transparent, locally grounded, and explicable framework that combines financial and ESG metrics, reveals weighting decisions, and generates auditable, data-supported narratives is still required. This gap is filled by FINESSE</w:t>
      </w:r>
      <w:r>
        <w:t>,</w:t>
      </w:r>
      <w:r w:rsidR="00410451">
        <w:t xml:space="preserve"> </w:t>
      </w:r>
      <w:r w:rsidRPr="00937C21">
        <w:t xml:space="preserve">which combines interpretable scoring (normalization with explicit weights) with a local, dataset-grounded Large Language Model to produce adaptive portfolio recommendations and traceable </w:t>
      </w:r>
      <w:r w:rsidR="001A0D20" w:rsidRPr="001A0D20">
        <w:t>justifications [6</w:t>
      </w:r>
      <w:r w:rsidR="00DA78B4">
        <w:t>,</w:t>
      </w:r>
      <w:r w:rsidR="001A0D20" w:rsidRPr="001A0D20">
        <w:t>11].</w:t>
      </w:r>
    </w:p>
    <w:p w14:paraId="601C3142" w14:textId="77777777" w:rsidR="00C67FCA" w:rsidRPr="006D67A1" w:rsidRDefault="00C67FCA" w:rsidP="006D67A1">
      <w:pPr>
        <w:jc w:val="left"/>
      </w:pPr>
    </w:p>
    <w:p w14:paraId="6C345331" w14:textId="78792CF9" w:rsidR="009303D9" w:rsidRDefault="0087009C" w:rsidP="006B6B66">
      <w:pPr>
        <w:pStyle w:val="Heading1"/>
      </w:pPr>
      <w:r>
        <w:t>Methodology</w:t>
      </w:r>
    </w:p>
    <w:p w14:paraId="6837B3FE" w14:textId="2A7CC324" w:rsidR="0087009C" w:rsidRPr="0087009C" w:rsidRDefault="0087009C" w:rsidP="0057426F">
      <w:pPr>
        <w:ind w:firstLine="288"/>
        <w:jc w:val="both"/>
        <w:rPr>
          <w:rFonts w:eastAsia="Times New Roman"/>
          <w:lang w:val="en-AE" w:eastAsia="en-AE"/>
        </w:rPr>
      </w:pPr>
      <w:r w:rsidRPr="0087009C">
        <w:rPr>
          <w:rFonts w:eastAsia="Times New Roman"/>
          <w:lang w:val="en-AE" w:eastAsia="en-AE"/>
        </w:rPr>
        <w:t>FINESSE (Financial Intelligence for Navigated ESG Evaluation and Strategy Engine), the created novel system, was designed to analyse businesses on its own by combining financial metrics and sustainability indicators using a single analytical and agentic AI framework</w:t>
      </w:r>
      <w:r w:rsidR="001A0D20" w:rsidRPr="001A0D20">
        <w:rPr>
          <w:b/>
          <w:bCs/>
        </w:rPr>
        <w:t xml:space="preserve"> </w:t>
      </w:r>
      <w:r w:rsidR="001A0D20" w:rsidRPr="001A0D20">
        <w:rPr>
          <w:rFonts w:eastAsia="Times New Roman"/>
          <w:lang w:eastAsia="en-AE"/>
        </w:rPr>
        <w:t>[6</w:t>
      </w:r>
      <w:r w:rsidR="00DA78B4">
        <w:rPr>
          <w:rFonts w:eastAsia="Times New Roman"/>
          <w:lang w:eastAsia="en-AE"/>
        </w:rPr>
        <w:t>,</w:t>
      </w:r>
      <w:r w:rsidR="001A0D20" w:rsidRPr="001A0D20">
        <w:rPr>
          <w:rFonts w:eastAsia="Times New Roman"/>
          <w:lang w:eastAsia="en-AE"/>
        </w:rPr>
        <w:t xml:space="preserve">12]. </w:t>
      </w:r>
      <w:r w:rsidRPr="0087009C">
        <w:rPr>
          <w:rFonts w:eastAsia="Times New Roman"/>
          <w:lang w:val="en-AE" w:eastAsia="en-AE"/>
        </w:rPr>
        <w:t xml:space="preserve"> Data collection and preprocessing, scoring model computation, analytics and visualisation, and agentic AI design are the four main phases of the methodology.</w:t>
      </w:r>
    </w:p>
    <w:p w14:paraId="2E686C0C" w14:textId="429E01C9" w:rsidR="003E64E0" w:rsidRPr="003E64E0" w:rsidRDefault="003E64E0" w:rsidP="003E64E0">
      <w:pPr>
        <w:jc w:val="both"/>
      </w:pPr>
    </w:p>
    <w:p w14:paraId="7705DBE7" w14:textId="772D4320" w:rsidR="009303D9" w:rsidRDefault="0087009C" w:rsidP="00ED0149">
      <w:pPr>
        <w:pStyle w:val="Heading2"/>
      </w:pPr>
      <w:r>
        <w:t>Data Acquisition and Pre-processing</w:t>
      </w:r>
    </w:p>
    <w:p w14:paraId="0106ED4F" w14:textId="24912CAD" w:rsidR="006836B8" w:rsidRPr="0087009C" w:rsidRDefault="0087009C" w:rsidP="0057426F">
      <w:pPr>
        <w:ind w:firstLine="288"/>
        <w:jc w:val="both"/>
        <w:rPr>
          <w:rFonts w:eastAsia="Times New Roman"/>
          <w:lang w:val="en-AE" w:eastAsia="en-AE"/>
        </w:rPr>
      </w:pPr>
      <w:r w:rsidRPr="0087009C">
        <w:rPr>
          <w:rFonts w:eastAsia="Times New Roman"/>
          <w:lang w:val="en-AE" w:eastAsia="en-AE"/>
        </w:rPr>
        <w:t>The dataset included financial performance metrics and ESG data for 19 publicly traded firms in the industrial, energy, and technology sectors. Two main sources of data were combined:</w:t>
      </w:r>
    </w:p>
    <w:p w14:paraId="71A15CD7" w14:textId="4399B640" w:rsidR="0087009C" w:rsidRPr="0087009C" w:rsidRDefault="001A0D20" w:rsidP="005D33EA">
      <w:pPr>
        <w:pStyle w:val="ListParagraph"/>
        <w:numPr>
          <w:ilvl w:val="0"/>
          <w:numId w:val="27"/>
        </w:numPr>
        <w:jc w:val="both"/>
        <w:rPr>
          <w:rFonts w:eastAsia="Times New Roman"/>
          <w:lang w:val="en-AE" w:eastAsia="en-AE"/>
        </w:rPr>
      </w:pPr>
      <w:r>
        <w:rPr>
          <w:rFonts w:eastAsia="Times New Roman"/>
          <w:lang w:val="en-AE" w:eastAsia="en-AE"/>
        </w:rPr>
        <w:t>A</w:t>
      </w:r>
      <w:r w:rsidRPr="0087009C">
        <w:rPr>
          <w:rFonts w:eastAsia="Times New Roman"/>
          <w:lang w:val="en-AE" w:eastAsia="en-AE"/>
        </w:rPr>
        <w:t xml:space="preserve"> manually</w:t>
      </w:r>
      <w:r w:rsidR="0087009C" w:rsidRPr="0087009C">
        <w:rPr>
          <w:rFonts w:eastAsia="Times New Roman"/>
          <w:lang w:val="en-AE" w:eastAsia="en-AE"/>
        </w:rPr>
        <w:t> pre-compiled</w:t>
      </w:r>
      <w:r w:rsidR="0087009C">
        <w:rPr>
          <w:rFonts w:eastAsia="Times New Roman"/>
          <w:lang w:val="en-AE" w:eastAsia="en-AE"/>
        </w:rPr>
        <w:t xml:space="preserve"> CSV file with </w:t>
      </w:r>
      <w:r w:rsidR="0087009C" w:rsidRPr="0087009C">
        <w:rPr>
          <w:rFonts w:eastAsia="Times New Roman"/>
          <w:lang w:val="en-AE" w:eastAsia="en-AE"/>
        </w:rPr>
        <w:t>ESG metrics such as the Environmental Risk Score, Governance Score, and Renewable Energy Percentage</w:t>
      </w:r>
      <w:r w:rsidRPr="001A0D20">
        <w:rPr>
          <w:b/>
          <w:bCs/>
        </w:rPr>
        <w:t xml:space="preserve"> </w:t>
      </w:r>
      <w:r w:rsidRPr="001A0D20">
        <w:rPr>
          <w:rFonts w:eastAsia="Times New Roman"/>
          <w:lang w:eastAsia="en-AE"/>
        </w:rPr>
        <w:t>[7</w:t>
      </w:r>
      <w:r w:rsidR="00DA78B4">
        <w:rPr>
          <w:rFonts w:eastAsia="Times New Roman"/>
          <w:lang w:eastAsia="en-AE"/>
        </w:rPr>
        <w:t>,</w:t>
      </w:r>
      <w:r w:rsidRPr="001A0D20">
        <w:rPr>
          <w:rFonts w:eastAsia="Times New Roman"/>
          <w:lang w:eastAsia="en-AE"/>
        </w:rPr>
        <w:t>8].</w:t>
      </w:r>
    </w:p>
    <w:p w14:paraId="7776727E" w14:textId="6C241A06" w:rsidR="0087009C" w:rsidRPr="0087009C" w:rsidRDefault="0087009C" w:rsidP="005D33EA">
      <w:pPr>
        <w:pStyle w:val="ListParagraph"/>
        <w:numPr>
          <w:ilvl w:val="0"/>
          <w:numId w:val="27"/>
        </w:numPr>
        <w:jc w:val="both"/>
        <w:rPr>
          <w:rFonts w:eastAsia="Times New Roman"/>
          <w:lang w:val="en-AE" w:eastAsia="en-AE"/>
        </w:rPr>
      </w:pPr>
      <w:r w:rsidRPr="0087009C">
        <w:rPr>
          <w:rFonts w:eastAsia="Times New Roman"/>
          <w:lang w:val="en-AE" w:eastAsia="en-AE"/>
        </w:rPr>
        <w:t>For market-driven qualities like stock price, market capitalisation, earnings per share (EPS), price-to-earnings (P/E) ratio, and dividend yield, Yahoo Finance API was used through yfinance library</w:t>
      </w:r>
      <w:r w:rsidR="001A0D20" w:rsidRPr="001A0D20">
        <w:rPr>
          <w:b/>
          <w:bCs/>
        </w:rPr>
        <w:t xml:space="preserve"> </w:t>
      </w:r>
      <w:r w:rsidR="001A0D20" w:rsidRPr="001A0D20">
        <w:rPr>
          <w:rFonts w:eastAsia="Times New Roman"/>
          <w:lang w:eastAsia="en-AE"/>
        </w:rPr>
        <w:t>[9].</w:t>
      </w:r>
    </w:p>
    <w:p w14:paraId="751E2D8D" w14:textId="77777777" w:rsidR="0087009C" w:rsidRDefault="0087009C" w:rsidP="005D33EA">
      <w:pPr>
        <w:pStyle w:val="BodyText"/>
        <w:ind w:firstLine="0"/>
        <w:rPr>
          <w:rFonts w:eastAsia="Times New Roman"/>
          <w:lang w:val="en-US"/>
        </w:rPr>
      </w:pPr>
    </w:p>
    <w:p w14:paraId="4F75FBA1" w14:textId="34659E65" w:rsidR="0087009C" w:rsidRDefault="0057426F" w:rsidP="005D33EA">
      <w:pPr>
        <w:pStyle w:val="BodyText"/>
        <w:ind w:firstLine="0"/>
        <w:rPr>
          <w:rFonts w:eastAsia="Times New Roman"/>
          <w:lang w:val="en-US"/>
        </w:rPr>
      </w:pPr>
      <w:r>
        <w:rPr>
          <w:rFonts w:eastAsia="Times New Roman"/>
          <w:lang w:val="en-US"/>
        </w:rPr>
        <w:tab/>
      </w:r>
      <w:r w:rsidR="0087009C" w:rsidRPr="0087009C">
        <w:rPr>
          <w:rFonts w:eastAsia="Times New Roman"/>
          <w:lang w:val="en-US"/>
        </w:rPr>
        <w:t>Preprocessing was conducted using Python (Pandas, NumPy</w:t>
      </w:r>
      <w:r w:rsidR="0087009C" w:rsidRPr="0087009C">
        <w:rPr>
          <w:rFonts w:eastAsia="Times New Roman"/>
          <w:b/>
          <w:bCs/>
          <w:lang w:val="en-US"/>
        </w:rPr>
        <w:t>)</w:t>
      </w:r>
      <w:r w:rsidR="0087009C" w:rsidRPr="0087009C">
        <w:rPr>
          <w:rFonts w:eastAsia="Times New Roman"/>
          <w:lang w:val="en-US"/>
        </w:rPr>
        <w:t>, focusing on three main procedures:</w:t>
      </w:r>
    </w:p>
    <w:p w14:paraId="50230A32" w14:textId="77777777" w:rsidR="0087009C" w:rsidRPr="0087009C" w:rsidRDefault="0087009C" w:rsidP="005D33EA">
      <w:pPr>
        <w:pStyle w:val="ListParagraph"/>
        <w:numPr>
          <w:ilvl w:val="0"/>
          <w:numId w:val="27"/>
        </w:numPr>
        <w:jc w:val="both"/>
        <w:rPr>
          <w:rFonts w:eastAsia="Times New Roman"/>
          <w:lang w:val="en-AE" w:eastAsia="en-AE"/>
        </w:rPr>
      </w:pPr>
      <w:r w:rsidRPr="0087009C">
        <w:rPr>
          <w:rFonts w:eastAsia="Times New Roman"/>
          <w:lang w:val="en-AE" w:eastAsia="en-AE"/>
        </w:rPr>
        <w:t>Handling missing values: To maintain statistical stability, median imputation was used in all numerical fields.</w:t>
      </w:r>
    </w:p>
    <w:p w14:paraId="7DF69731" w14:textId="2C6FDEBA" w:rsidR="0087009C" w:rsidRPr="0087009C" w:rsidRDefault="0087009C" w:rsidP="005D33EA">
      <w:pPr>
        <w:pStyle w:val="ListParagraph"/>
        <w:numPr>
          <w:ilvl w:val="0"/>
          <w:numId w:val="27"/>
        </w:numPr>
        <w:jc w:val="both"/>
        <w:rPr>
          <w:rFonts w:eastAsia="Times New Roman"/>
          <w:lang w:val="en-AE" w:eastAsia="en-AE"/>
        </w:rPr>
      </w:pPr>
      <w:r w:rsidRPr="0087009C">
        <w:rPr>
          <w:rFonts w:eastAsia="Times New Roman"/>
          <w:lang w:val="en-AE" w:eastAsia="en-AE"/>
        </w:rPr>
        <w:t>Normalisation: To ensure consistent weighting and comparability, all measures were scaled between 0 and 1 using scikit-learn's MinMaxScaler.</w:t>
      </w:r>
    </w:p>
    <w:p w14:paraId="54F4C91F" w14:textId="2DF9DCD2" w:rsidR="0087009C" w:rsidRDefault="0087009C" w:rsidP="005D33EA">
      <w:pPr>
        <w:pStyle w:val="ListParagraph"/>
        <w:numPr>
          <w:ilvl w:val="0"/>
          <w:numId w:val="27"/>
        </w:numPr>
        <w:jc w:val="both"/>
        <w:rPr>
          <w:rFonts w:eastAsia="Times New Roman"/>
          <w:lang w:val="en-AE" w:eastAsia="en-AE"/>
        </w:rPr>
      </w:pPr>
      <w:r w:rsidRPr="0087009C">
        <w:rPr>
          <w:rFonts w:eastAsia="Times New Roman"/>
          <w:lang w:val="en-AE" w:eastAsia="en-AE"/>
        </w:rPr>
        <w:t>Data harmonisation: To ensure automated consistency, inconsistent column labels were standardised.</w:t>
      </w:r>
    </w:p>
    <w:p w14:paraId="410E5F63" w14:textId="77777777" w:rsidR="0087009C" w:rsidRPr="0087009C" w:rsidRDefault="0087009C" w:rsidP="005D33EA">
      <w:pPr>
        <w:jc w:val="both"/>
        <w:rPr>
          <w:rFonts w:eastAsia="Times New Roman"/>
          <w:lang w:val="en-AE" w:eastAsia="en-AE"/>
        </w:rPr>
      </w:pPr>
    </w:p>
    <w:p w14:paraId="6A6A070F" w14:textId="6DC0D5EA" w:rsidR="00373D44" w:rsidRDefault="0057426F" w:rsidP="005D33EA">
      <w:pPr>
        <w:pStyle w:val="BodyText"/>
        <w:ind w:firstLine="0"/>
        <w:rPr>
          <w:lang w:val="en-US"/>
        </w:rPr>
      </w:pPr>
      <w:r>
        <w:rPr>
          <w:lang w:val="en-US"/>
        </w:rPr>
        <w:tab/>
      </w:r>
      <w:r w:rsidR="0087009C" w:rsidRPr="0087009C">
        <w:rPr>
          <w:lang w:val="en-US"/>
        </w:rPr>
        <w:t>This stage ensured a clean and normalized dataset ready for multi-dimensional analysis integrating sustainability and profitability</w:t>
      </w:r>
      <w:r w:rsidR="001A0D20" w:rsidRPr="001A0D20">
        <w:rPr>
          <w:b/>
          <w:bCs/>
          <w:spacing w:val="0"/>
          <w:lang w:val="en-US" w:eastAsia="en-US"/>
        </w:rPr>
        <w:t xml:space="preserve"> </w:t>
      </w:r>
      <w:r w:rsidR="001A0D20" w:rsidRPr="001A0D20">
        <w:rPr>
          <w:lang w:val="en-US"/>
        </w:rPr>
        <w:t>[1</w:t>
      </w:r>
      <w:r w:rsidR="001A0D20">
        <w:rPr>
          <w:lang w:val="en-US"/>
        </w:rPr>
        <w:t>-</w:t>
      </w:r>
      <w:r w:rsidR="001A0D20" w:rsidRPr="001A0D20">
        <w:rPr>
          <w:lang w:val="en-US"/>
        </w:rPr>
        <w:t>3].</w:t>
      </w:r>
    </w:p>
    <w:p w14:paraId="180822BD" w14:textId="02431420" w:rsidR="009303D9" w:rsidRPr="005B520E" w:rsidRDefault="000E0FFC" w:rsidP="005D33EA">
      <w:pPr>
        <w:pStyle w:val="Heading2"/>
        <w:tabs>
          <w:tab w:val="clear" w:pos="360"/>
          <w:tab w:val="num" w:pos="288"/>
        </w:tabs>
        <w:spacing w:before="0"/>
      </w:pPr>
      <w:r>
        <w:t>Scoring Model</w:t>
      </w:r>
    </w:p>
    <w:p w14:paraId="046867E0" w14:textId="77777777" w:rsidR="0057426F" w:rsidRDefault="000E0FFC" w:rsidP="0057426F">
      <w:pPr>
        <w:pStyle w:val="NormalWeb"/>
        <w:spacing w:before="0" w:beforeAutospacing="0"/>
        <w:ind w:firstLine="288"/>
        <w:jc w:val="both"/>
        <w:rPr>
          <w:sz w:val="20"/>
          <w:szCs w:val="20"/>
        </w:rPr>
      </w:pPr>
      <w:r w:rsidRPr="005D33EA">
        <w:rPr>
          <w:sz w:val="20"/>
          <w:szCs w:val="20"/>
          <w:lang w:val="en-AE" w:eastAsia="en-AE"/>
        </w:rPr>
        <w:t>To calculate each company's sustainability and profitability trade-off, we created</w:t>
      </w:r>
      <w:r w:rsidRPr="000E0FFC">
        <w:rPr>
          <w:sz w:val="20"/>
          <w:szCs w:val="20"/>
        </w:rPr>
        <w:t xml:space="preserve"> two composite indices: </w:t>
      </w:r>
      <w:r w:rsidRPr="000E0FFC">
        <w:rPr>
          <w:i/>
          <w:iCs/>
          <w:sz w:val="20"/>
          <w:szCs w:val="20"/>
        </w:rPr>
        <w:t>ESG_Score</w:t>
      </w:r>
      <w:r w:rsidRPr="000E0FFC">
        <w:rPr>
          <w:sz w:val="20"/>
          <w:szCs w:val="20"/>
        </w:rPr>
        <w:t xml:space="preserve"> and </w:t>
      </w:r>
      <w:r w:rsidRPr="000E0FFC">
        <w:rPr>
          <w:i/>
          <w:iCs/>
          <w:sz w:val="20"/>
          <w:szCs w:val="20"/>
        </w:rPr>
        <w:t>Financial_Score</w:t>
      </w:r>
      <w:r>
        <w:rPr>
          <w:sz w:val="20"/>
          <w:szCs w:val="20"/>
        </w:rPr>
        <w:t xml:space="preserve">. </w:t>
      </w:r>
      <w:r w:rsidRPr="000E0FFC">
        <w:rPr>
          <w:sz w:val="20"/>
          <w:szCs w:val="20"/>
        </w:rPr>
        <w:t xml:space="preserve">The </w:t>
      </w:r>
      <w:r w:rsidRPr="000E0FFC">
        <w:rPr>
          <w:i/>
          <w:iCs/>
          <w:sz w:val="20"/>
          <w:szCs w:val="20"/>
        </w:rPr>
        <w:t>ESG_Score</w:t>
      </w:r>
      <w:r w:rsidRPr="000E0FFC">
        <w:rPr>
          <w:sz w:val="20"/>
          <w:szCs w:val="20"/>
        </w:rPr>
        <w:t xml:space="preserve"> reflects the average of five normalized sustainability metrics</w:t>
      </w:r>
      <w:r>
        <w:rPr>
          <w:sz w:val="20"/>
          <w:szCs w:val="20"/>
        </w:rPr>
        <w:t>:</w:t>
      </w:r>
      <w:r w:rsidR="00F55F63">
        <w:rPr>
          <w:sz w:val="20"/>
          <w:szCs w:val="20"/>
        </w:rPr>
        <w:t xml:space="preserve"> </w:t>
      </w:r>
      <w:r w:rsidR="004A589B" w:rsidRPr="004A589B">
        <w:rPr>
          <w:sz w:val="20"/>
          <w:szCs w:val="20"/>
        </w:rPr>
        <w:t>ESG</w:t>
      </w:r>
      <w:r w:rsidR="004A589B">
        <w:rPr>
          <w:sz w:val="20"/>
          <w:szCs w:val="20"/>
        </w:rPr>
        <w:t xml:space="preserve">, </w:t>
      </w:r>
      <w:r w:rsidR="004A589B" w:rsidRPr="004A589B">
        <w:rPr>
          <w:sz w:val="20"/>
          <w:szCs w:val="20"/>
        </w:rPr>
        <w:t>Environmental</w:t>
      </w:r>
      <w:r w:rsidR="004A589B">
        <w:rPr>
          <w:sz w:val="20"/>
          <w:szCs w:val="20"/>
        </w:rPr>
        <w:t xml:space="preserve"> </w:t>
      </w:r>
      <w:r w:rsidR="004A589B" w:rsidRPr="004A589B">
        <w:rPr>
          <w:sz w:val="20"/>
          <w:szCs w:val="20"/>
        </w:rPr>
        <w:t>Risk</w:t>
      </w:r>
      <w:r w:rsidR="004A589B">
        <w:rPr>
          <w:sz w:val="20"/>
          <w:szCs w:val="20"/>
        </w:rPr>
        <w:t xml:space="preserve">, </w:t>
      </w:r>
      <w:r w:rsidR="004A589B" w:rsidRPr="004A589B">
        <w:rPr>
          <w:sz w:val="20"/>
          <w:szCs w:val="20"/>
        </w:rPr>
        <w:t>Renewable</w:t>
      </w:r>
      <w:r w:rsidR="004A589B">
        <w:rPr>
          <w:sz w:val="20"/>
          <w:szCs w:val="20"/>
        </w:rPr>
        <w:t xml:space="preserve"> </w:t>
      </w:r>
      <w:r w:rsidR="004A589B" w:rsidRPr="004A589B">
        <w:rPr>
          <w:sz w:val="20"/>
          <w:szCs w:val="20"/>
        </w:rPr>
        <w:t>Energy</w:t>
      </w:r>
      <w:r w:rsidR="004A589B">
        <w:rPr>
          <w:sz w:val="20"/>
          <w:szCs w:val="20"/>
        </w:rPr>
        <w:t xml:space="preserve">, </w:t>
      </w:r>
      <w:r w:rsidR="004A589B" w:rsidRPr="004A589B">
        <w:rPr>
          <w:sz w:val="20"/>
          <w:szCs w:val="20"/>
        </w:rPr>
        <w:t>Governance</w:t>
      </w:r>
      <w:r w:rsidR="001A0D20">
        <w:rPr>
          <w:sz w:val="20"/>
          <w:szCs w:val="20"/>
        </w:rPr>
        <w:t xml:space="preserve"> &amp; </w:t>
      </w:r>
      <w:r w:rsidR="004A589B" w:rsidRPr="004A589B">
        <w:rPr>
          <w:sz w:val="20"/>
          <w:szCs w:val="20"/>
        </w:rPr>
        <w:t>Social</w:t>
      </w:r>
      <w:r w:rsidR="004A589B">
        <w:rPr>
          <w:sz w:val="20"/>
          <w:szCs w:val="20"/>
        </w:rPr>
        <w:t xml:space="preserve"> </w:t>
      </w:r>
      <w:r w:rsidR="004A589B" w:rsidRPr="004A589B">
        <w:rPr>
          <w:sz w:val="20"/>
          <w:szCs w:val="20"/>
        </w:rPr>
        <w:t>Risk</w:t>
      </w:r>
      <w:r w:rsidR="001A0D20" w:rsidRPr="001A0D20">
        <w:rPr>
          <w:rFonts w:eastAsia="SimSun"/>
          <w:b/>
          <w:bCs/>
          <w:sz w:val="20"/>
          <w:szCs w:val="20"/>
        </w:rPr>
        <w:t xml:space="preserve"> </w:t>
      </w:r>
      <w:r w:rsidR="001A0D20" w:rsidRPr="001A0D20">
        <w:rPr>
          <w:sz w:val="20"/>
          <w:szCs w:val="20"/>
        </w:rPr>
        <w:t>[1]</w:t>
      </w:r>
      <w:r w:rsidR="008E2468">
        <w:rPr>
          <w:sz w:val="20"/>
          <w:szCs w:val="20"/>
        </w:rPr>
        <w:t>.</w:t>
      </w:r>
    </w:p>
    <w:p w14:paraId="69B4B241" w14:textId="42F321E7" w:rsidR="004A589B" w:rsidRDefault="000E0FFC" w:rsidP="0057426F">
      <w:pPr>
        <w:pStyle w:val="NormalWeb"/>
        <w:spacing w:before="0" w:beforeAutospacing="0"/>
        <w:ind w:firstLine="288"/>
        <w:jc w:val="both"/>
        <w:rPr>
          <w:sz w:val="20"/>
          <w:szCs w:val="20"/>
        </w:rPr>
      </w:pPr>
      <w:r w:rsidRPr="000E0FFC">
        <w:rPr>
          <w:sz w:val="20"/>
          <w:szCs w:val="20"/>
        </w:rPr>
        <w:t>The Financial_Score captures the average of seven normalized market and profitability indicators:</w:t>
      </w:r>
      <w:r w:rsidR="004A589B">
        <w:rPr>
          <w:sz w:val="20"/>
          <w:szCs w:val="20"/>
        </w:rPr>
        <w:t xml:space="preserve"> </w:t>
      </w:r>
      <w:r w:rsidRPr="000E0FFC">
        <w:rPr>
          <w:sz w:val="20"/>
          <w:szCs w:val="20"/>
        </w:rPr>
        <w:t>Stock</w:t>
      </w:r>
      <w:r w:rsidR="004A589B">
        <w:rPr>
          <w:sz w:val="20"/>
          <w:szCs w:val="20"/>
        </w:rPr>
        <w:t xml:space="preserve"> </w:t>
      </w:r>
      <w:r w:rsidR="001A0D20" w:rsidRPr="000E0FFC">
        <w:rPr>
          <w:sz w:val="20"/>
          <w:szCs w:val="20"/>
        </w:rPr>
        <w:t>Price</w:t>
      </w:r>
      <w:r w:rsidR="001A0D20">
        <w:rPr>
          <w:sz w:val="20"/>
          <w:szCs w:val="20"/>
        </w:rPr>
        <w:t xml:space="preserve">, </w:t>
      </w:r>
      <w:r w:rsidR="001A0D20" w:rsidRPr="000E0FFC">
        <w:rPr>
          <w:sz w:val="20"/>
          <w:szCs w:val="20"/>
        </w:rPr>
        <w:t>Market</w:t>
      </w:r>
      <w:r w:rsidR="004A589B">
        <w:rPr>
          <w:sz w:val="20"/>
          <w:szCs w:val="20"/>
        </w:rPr>
        <w:t xml:space="preserve"> </w:t>
      </w:r>
      <w:r w:rsidRPr="000E0FFC">
        <w:rPr>
          <w:sz w:val="20"/>
          <w:szCs w:val="20"/>
        </w:rPr>
        <w:t>Cap</w:t>
      </w:r>
      <w:r w:rsidR="004A589B">
        <w:rPr>
          <w:sz w:val="20"/>
          <w:szCs w:val="20"/>
        </w:rPr>
        <w:t xml:space="preserve">, </w:t>
      </w:r>
      <w:r w:rsidRPr="000E0FFC">
        <w:rPr>
          <w:sz w:val="20"/>
          <w:szCs w:val="20"/>
        </w:rPr>
        <w:t>Revenue</w:t>
      </w:r>
      <w:r w:rsidR="004A589B">
        <w:rPr>
          <w:sz w:val="20"/>
          <w:szCs w:val="20"/>
        </w:rPr>
        <w:t xml:space="preserve"> </w:t>
      </w:r>
      <w:r w:rsidRPr="000E0FFC">
        <w:rPr>
          <w:sz w:val="20"/>
          <w:szCs w:val="20"/>
        </w:rPr>
        <w:t>Growth</w:t>
      </w:r>
      <w:r w:rsidR="004A589B">
        <w:rPr>
          <w:sz w:val="20"/>
          <w:szCs w:val="20"/>
        </w:rPr>
        <w:t xml:space="preserve">, </w:t>
      </w:r>
      <w:r w:rsidRPr="000E0FFC">
        <w:rPr>
          <w:sz w:val="20"/>
          <w:szCs w:val="20"/>
        </w:rPr>
        <w:t>EPS</w:t>
      </w:r>
      <w:r w:rsidR="004A589B">
        <w:rPr>
          <w:sz w:val="20"/>
          <w:szCs w:val="20"/>
        </w:rPr>
        <w:t xml:space="preserve">, </w:t>
      </w:r>
      <w:r w:rsidRPr="000E0FFC">
        <w:rPr>
          <w:sz w:val="20"/>
          <w:szCs w:val="20"/>
        </w:rPr>
        <w:t>PE</w:t>
      </w:r>
      <w:r w:rsidR="004A589B">
        <w:rPr>
          <w:sz w:val="20"/>
          <w:szCs w:val="20"/>
        </w:rPr>
        <w:t xml:space="preserve">, </w:t>
      </w:r>
      <w:r w:rsidRPr="000E0FFC">
        <w:rPr>
          <w:sz w:val="20"/>
          <w:szCs w:val="20"/>
        </w:rPr>
        <w:t xml:space="preserve"> (1 </w:t>
      </w:r>
      <w:r w:rsidR="004A589B">
        <w:rPr>
          <w:sz w:val="20"/>
          <w:szCs w:val="20"/>
        </w:rPr>
        <w:t>–</w:t>
      </w:r>
      <w:r w:rsidRPr="000E0FFC">
        <w:rPr>
          <w:sz w:val="20"/>
          <w:szCs w:val="20"/>
        </w:rPr>
        <w:t xml:space="preserve"> Debt</w:t>
      </w:r>
      <w:r w:rsidR="004A589B">
        <w:rPr>
          <w:sz w:val="20"/>
          <w:szCs w:val="20"/>
        </w:rPr>
        <w:t xml:space="preserve"> </w:t>
      </w:r>
      <w:r w:rsidRPr="000E0FFC">
        <w:rPr>
          <w:sz w:val="20"/>
          <w:szCs w:val="20"/>
        </w:rPr>
        <w:t>To</w:t>
      </w:r>
      <w:r w:rsidR="004A589B">
        <w:rPr>
          <w:sz w:val="20"/>
          <w:szCs w:val="20"/>
        </w:rPr>
        <w:t xml:space="preserve"> </w:t>
      </w:r>
      <w:r w:rsidRPr="000E0FFC">
        <w:rPr>
          <w:sz w:val="20"/>
          <w:szCs w:val="20"/>
        </w:rPr>
        <w:t>Equity</w:t>
      </w:r>
      <w:r w:rsidR="004A589B">
        <w:rPr>
          <w:sz w:val="20"/>
          <w:szCs w:val="20"/>
        </w:rPr>
        <w:t>)</w:t>
      </w:r>
      <w:r w:rsidRPr="000E0FFC">
        <w:rPr>
          <w:sz w:val="20"/>
          <w:szCs w:val="20"/>
        </w:rPr>
        <w:t xml:space="preserve"> + Dividend</w:t>
      </w:r>
      <w:r w:rsidR="004A589B">
        <w:rPr>
          <w:sz w:val="20"/>
          <w:szCs w:val="20"/>
        </w:rPr>
        <w:t xml:space="preserve"> </w:t>
      </w:r>
      <w:r w:rsidRPr="000E0FFC">
        <w:rPr>
          <w:sz w:val="20"/>
          <w:szCs w:val="20"/>
        </w:rPr>
        <w:t>Yield</w:t>
      </w:r>
      <w:r w:rsidR="009C73FB">
        <w:rPr>
          <w:sz w:val="20"/>
          <w:szCs w:val="20"/>
        </w:rPr>
        <w:t xml:space="preserve">. </w:t>
      </w:r>
      <w:r w:rsidRPr="000E0FFC">
        <w:rPr>
          <w:sz w:val="20"/>
          <w:szCs w:val="20"/>
        </w:rPr>
        <w:t>The Final Composite Score (FinalScore) adds these two scores together with specified weights</w:t>
      </w:r>
      <w:r w:rsidR="004A589B">
        <w:rPr>
          <w:sz w:val="20"/>
          <w:szCs w:val="20"/>
        </w:rPr>
        <w:t>:</w:t>
      </w:r>
    </w:p>
    <w:p w14:paraId="08D7AA9D" w14:textId="733FB41C" w:rsidR="000E0FFC" w:rsidRPr="004A589B" w:rsidRDefault="004A589B" w:rsidP="00405DA8">
      <w:pPr>
        <w:pStyle w:val="NormalWeb"/>
        <w:rPr>
          <w:sz w:val="20"/>
          <w:szCs w:val="20"/>
        </w:rPr>
      </w:pPr>
      <m:oMath>
        <m:r>
          <w:rPr>
            <w:rFonts w:ascii="Cambria Math" w:hAnsi="Cambria Math"/>
            <w:sz w:val="20"/>
            <w:szCs w:val="20"/>
          </w:rPr>
          <m:t xml:space="preserve">FinalScore = </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fin</m:t>
            </m:r>
          </m:sub>
        </m:sSub>
        <m:r>
          <w:rPr>
            <w:rFonts w:ascii="Cambria Math" w:hAnsi="Cambria Math"/>
            <w:sz w:val="20"/>
            <w:szCs w:val="20"/>
          </w:rPr>
          <m:t>× Financia</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Score</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esg</m:t>
            </m:r>
          </m:sub>
        </m:sSub>
        <m:r>
          <w:rPr>
            <w:rFonts w:ascii="Cambria Math" w:hAnsi="Cambria Math"/>
            <w:sz w:val="20"/>
            <w:szCs w:val="20"/>
          </w:rPr>
          <m:t>×</m:t>
        </m:r>
        <m:r>
          <w:rPr>
            <w:rFonts w:ascii="Cambria Math" w:hAnsi="Cambria Math"/>
            <w:sz w:val="20"/>
            <w:szCs w:val="20"/>
          </w:rPr>
          <m:t xml:space="preserve"> </m:t>
        </m:r>
        <m:r>
          <w:rPr>
            <w:rFonts w:ascii="Cambria Math" w:hAnsi="Cambria Math"/>
            <w:sz w:val="20"/>
            <w:szCs w:val="20"/>
          </w:rPr>
          <m:t>ES</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Score</m:t>
            </m:r>
          </m:sub>
        </m:sSub>
      </m:oMath>
      <w:r w:rsidR="00405DA8">
        <w:rPr>
          <w:sz w:val="20"/>
          <w:szCs w:val="20"/>
        </w:rPr>
        <w:tab/>
        <w:t xml:space="preserve">                                                               (1)</w:t>
      </w:r>
    </w:p>
    <w:p w14:paraId="54B902CE" w14:textId="77777777" w:rsidR="000E0FFC" w:rsidRPr="000E0FFC" w:rsidRDefault="000E0FFC" w:rsidP="0057426F">
      <w:pPr>
        <w:pStyle w:val="NormalWeb"/>
        <w:ind w:firstLine="360"/>
        <w:jc w:val="both"/>
        <w:rPr>
          <w:sz w:val="20"/>
          <w:szCs w:val="20"/>
        </w:rPr>
      </w:pPr>
      <w:r w:rsidRPr="000E0FFC">
        <w:rPr>
          <w:sz w:val="20"/>
          <w:szCs w:val="20"/>
        </w:rPr>
        <w:t>We tested two weighting configurations:</w:t>
      </w:r>
    </w:p>
    <w:p w14:paraId="1157458C" w14:textId="77777777" w:rsidR="000E0FFC" w:rsidRPr="000E0FFC" w:rsidRDefault="000E0FFC" w:rsidP="005D33EA">
      <w:pPr>
        <w:pStyle w:val="NormalWeb"/>
        <w:numPr>
          <w:ilvl w:val="0"/>
          <w:numId w:val="39"/>
        </w:numPr>
        <w:jc w:val="both"/>
        <w:rPr>
          <w:sz w:val="20"/>
          <w:szCs w:val="20"/>
        </w:rPr>
      </w:pPr>
      <w:r w:rsidRPr="000E0FFC">
        <w:rPr>
          <w:sz w:val="20"/>
          <w:szCs w:val="20"/>
        </w:rPr>
        <w:t>50-50: equal focus on financial and ESG performance.</w:t>
      </w:r>
    </w:p>
    <w:p w14:paraId="5C13D331" w14:textId="77777777" w:rsidR="000E0FFC" w:rsidRPr="000E0FFC" w:rsidRDefault="000E0FFC" w:rsidP="005D33EA">
      <w:pPr>
        <w:pStyle w:val="NormalWeb"/>
        <w:numPr>
          <w:ilvl w:val="0"/>
          <w:numId w:val="39"/>
        </w:numPr>
        <w:jc w:val="both"/>
        <w:rPr>
          <w:sz w:val="20"/>
          <w:szCs w:val="20"/>
        </w:rPr>
      </w:pPr>
      <w:r w:rsidRPr="000E0FFC">
        <w:rPr>
          <w:sz w:val="20"/>
          <w:szCs w:val="20"/>
        </w:rPr>
        <w:t>60-40: slightly prioritizing profitability.</w:t>
      </w:r>
    </w:p>
    <w:p w14:paraId="3FA61C0C" w14:textId="77777777" w:rsidR="004A589B" w:rsidRDefault="000E0FFC" w:rsidP="0057426F">
      <w:pPr>
        <w:pStyle w:val="NormalWeb"/>
        <w:ind w:firstLine="360"/>
        <w:jc w:val="both"/>
        <w:rPr>
          <w:sz w:val="20"/>
          <w:szCs w:val="20"/>
        </w:rPr>
      </w:pPr>
      <w:r w:rsidRPr="000E0FFC">
        <w:rPr>
          <w:sz w:val="20"/>
          <w:szCs w:val="20"/>
        </w:rPr>
        <w:t>We also derived a Sustainability Impact Score to highlight renewable energy and environmental performance:</w:t>
      </w:r>
    </w:p>
    <w:p w14:paraId="2742FA65" w14:textId="1EF2161E" w:rsidR="004A589B" w:rsidRPr="00405DA8" w:rsidRDefault="004A589B" w:rsidP="00405DA8">
      <w:pPr>
        <w:pStyle w:val="NormalWeb"/>
        <w:rPr>
          <w:sz w:val="20"/>
          <w:szCs w:val="20"/>
        </w:rPr>
      </w:pPr>
      <m:oMath>
        <m:r>
          <w:rPr>
            <w:rFonts w:ascii="Cambria Math" w:hAnsi="Cambria Math"/>
            <w:sz w:val="20"/>
            <w:szCs w:val="20"/>
          </w:rPr>
          <m:t>Sustainability_Impact = 0.4 × ESG_Score + 0.4 × RenewableEnergy + 0.2 × EnvironmentalRi</m:t>
        </m:r>
        <m:r>
          <w:rPr>
            <w:rFonts w:ascii="Cambria Math" w:hAnsi="Cambria Math"/>
            <w:sz w:val="20"/>
            <w:szCs w:val="20"/>
          </w:rPr>
          <m:t>sk</m:t>
        </m:r>
      </m:oMath>
      <w:r w:rsidR="00405DA8">
        <w:rPr>
          <w:sz w:val="20"/>
          <w:szCs w:val="20"/>
        </w:rPr>
        <w:t xml:space="preserve">                                                        (2)</w:t>
      </w:r>
    </w:p>
    <w:p w14:paraId="4D70EF5A" w14:textId="750172A7" w:rsidR="003E64E0" w:rsidRPr="00E455B1" w:rsidRDefault="000E0FFC" w:rsidP="0057426F">
      <w:pPr>
        <w:pStyle w:val="NormalWeb"/>
        <w:ind w:firstLine="288"/>
        <w:jc w:val="both"/>
        <w:rPr>
          <w:sz w:val="20"/>
          <w:szCs w:val="20"/>
        </w:rPr>
      </w:pPr>
      <w:r w:rsidRPr="000E0FFC">
        <w:rPr>
          <w:sz w:val="20"/>
          <w:szCs w:val="20"/>
        </w:rPr>
        <w:t>This approach balances corporate responsibility with economic sustainability, creating a scoring system that supports ranking and portfolio allocatio</w:t>
      </w:r>
      <w:r w:rsidRPr="008E2468">
        <w:rPr>
          <w:sz w:val="20"/>
          <w:szCs w:val="20"/>
        </w:rPr>
        <w:t>n</w:t>
      </w:r>
      <w:r w:rsidR="008E2468" w:rsidRPr="008E2468">
        <w:rPr>
          <w:rFonts w:eastAsia="SimSun"/>
          <w:sz w:val="20"/>
          <w:szCs w:val="20"/>
        </w:rPr>
        <w:t xml:space="preserve"> </w:t>
      </w:r>
      <w:r w:rsidR="008E2468" w:rsidRPr="008E2468">
        <w:rPr>
          <w:sz w:val="20"/>
          <w:szCs w:val="20"/>
        </w:rPr>
        <w:t>[6].</w:t>
      </w:r>
    </w:p>
    <w:p w14:paraId="009B2E7C" w14:textId="26DACC95" w:rsidR="003E64E0" w:rsidRDefault="004A589B" w:rsidP="005D33EA">
      <w:pPr>
        <w:pStyle w:val="Heading2"/>
        <w:jc w:val="both"/>
      </w:pPr>
      <w:r w:rsidRPr="004A589B">
        <w:t>Visualization and Analytics</w:t>
      </w:r>
    </w:p>
    <w:p w14:paraId="6151A1DA" w14:textId="762550D5" w:rsidR="004018D3" w:rsidRPr="003E64E0" w:rsidRDefault="004018D3" w:rsidP="0057426F">
      <w:pPr>
        <w:ind w:firstLine="288"/>
        <w:jc w:val="both"/>
      </w:pPr>
      <w:r w:rsidRPr="004018D3">
        <w:t>The Streamlit-based dashboard</w:t>
      </w:r>
      <w:r w:rsidR="009C73FB">
        <w:t xml:space="preserve"> as shown in Fi</w:t>
      </w:r>
      <w:r w:rsidR="00DA78B4">
        <w:t xml:space="preserve">g. </w:t>
      </w:r>
      <w:r w:rsidR="009C73FB">
        <w:t xml:space="preserve">1 below, </w:t>
      </w:r>
      <w:r w:rsidRPr="004018D3">
        <w:t xml:space="preserve">served as the main visualization tool, offering interactive analytics for ranking, allocation, and </w:t>
      </w:r>
      <w:r w:rsidR="009467EA" w:rsidRPr="004018D3">
        <w:t>comparison</w:t>
      </w:r>
      <w:r w:rsidR="009467EA">
        <w:t xml:space="preserve"> [</w:t>
      </w:r>
      <w:r w:rsidR="008E2468">
        <w:t>10]</w:t>
      </w:r>
      <w:r w:rsidRPr="004018D3">
        <w:t>. Key visual elements include:</w:t>
      </w:r>
    </w:p>
    <w:p w14:paraId="75B09B39" w14:textId="54B272FA" w:rsidR="003E64E0" w:rsidRDefault="004018D3" w:rsidP="005D33EA">
      <w:pPr>
        <w:numPr>
          <w:ilvl w:val="0"/>
          <w:numId w:val="26"/>
        </w:numPr>
        <w:jc w:val="both"/>
      </w:pPr>
      <w:r w:rsidRPr="004018D3">
        <w:t>Top 10 Companies by FinalScore (Bar Chart): Shows the best-performing firms in sustainability and financial aspects.</w:t>
      </w:r>
    </w:p>
    <w:p w14:paraId="4930524B" w14:textId="435FA609" w:rsidR="004018D3" w:rsidRPr="00825528" w:rsidRDefault="004018D3" w:rsidP="005D33EA">
      <w:pPr>
        <w:numPr>
          <w:ilvl w:val="0"/>
          <w:numId w:val="26"/>
        </w:numPr>
        <w:jc w:val="both"/>
      </w:pPr>
      <w:r w:rsidRPr="004018D3">
        <w:t>ESG vs Financial Scatter Plot: Displays the connection between ethical responsibility and profitability.</w:t>
      </w:r>
    </w:p>
    <w:p w14:paraId="1186A931" w14:textId="67451289" w:rsidR="003E64E0" w:rsidRDefault="004018D3" w:rsidP="005D33EA">
      <w:pPr>
        <w:numPr>
          <w:ilvl w:val="0"/>
          <w:numId w:val="26"/>
        </w:numPr>
        <w:jc w:val="both"/>
      </w:pPr>
      <w:r w:rsidRPr="004018D3">
        <w:t>Allocation Recommendation Table: Lists the best top-N portfolios created using equal-weight or score-weight distribution.</w:t>
      </w:r>
    </w:p>
    <w:p w14:paraId="75776A94" w14:textId="037ECC66" w:rsidR="00373D44" w:rsidRDefault="004018D3" w:rsidP="00D61253">
      <w:pPr>
        <w:numPr>
          <w:ilvl w:val="0"/>
          <w:numId w:val="26"/>
        </w:numPr>
        <w:jc w:val="both"/>
      </w:pPr>
      <w:r w:rsidRPr="004018D3">
        <w:t>Financial vs ESG Comparison Chart: Shows how changing weighting schemes affects rankings and trade-offs.</w:t>
      </w:r>
    </w:p>
    <w:p w14:paraId="28D6D86A" w14:textId="61483AB8" w:rsidR="00373D44" w:rsidRDefault="00373D44" w:rsidP="005D33EA">
      <w:pPr>
        <w:jc w:val="right"/>
      </w:pPr>
      <w:r w:rsidRPr="00373D44">
        <w:rPr>
          <w:noProof/>
        </w:rPr>
        <w:drawing>
          <wp:inline distT="0" distB="0" distL="0" distR="0" wp14:anchorId="2B01A13A" wp14:editId="503C0FA6">
            <wp:extent cx="2887978" cy="1625007"/>
            <wp:effectExtent l="0" t="0" r="0" b="635"/>
            <wp:docPr id="20767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6348" name=""/>
                    <pic:cNvPicPr/>
                  </pic:nvPicPr>
                  <pic:blipFill>
                    <a:blip r:embed="rId8"/>
                    <a:stretch>
                      <a:fillRect/>
                    </a:stretch>
                  </pic:blipFill>
                  <pic:spPr>
                    <a:xfrm>
                      <a:off x="0" y="0"/>
                      <a:ext cx="2918408" cy="1642129"/>
                    </a:xfrm>
                    <a:prstGeom prst="rect">
                      <a:avLst/>
                    </a:prstGeom>
                  </pic:spPr>
                </pic:pic>
              </a:graphicData>
            </a:graphic>
          </wp:inline>
        </w:drawing>
      </w:r>
    </w:p>
    <w:p w14:paraId="43820BBF" w14:textId="2B4F8262" w:rsidR="00373D44" w:rsidRPr="00D01E2B" w:rsidRDefault="00373D44" w:rsidP="00D01E2B">
      <w:pPr>
        <w:rPr>
          <w:sz w:val="18"/>
          <w:szCs w:val="18"/>
        </w:rPr>
      </w:pPr>
      <w:r w:rsidRPr="00D01E2B">
        <w:rPr>
          <w:sz w:val="18"/>
          <w:szCs w:val="18"/>
        </w:rPr>
        <w:t>Fig.</w:t>
      </w:r>
      <w:r w:rsidR="009C73FB">
        <w:rPr>
          <w:sz w:val="18"/>
          <w:szCs w:val="18"/>
        </w:rPr>
        <w:t xml:space="preserve"> </w:t>
      </w:r>
      <w:r w:rsidR="00267807">
        <w:rPr>
          <w:sz w:val="18"/>
          <w:szCs w:val="18"/>
        </w:rPr>
        <w:t xml:space="preserve">1. </w:t>
      </w:r>
      <w:r w:rsidR="00D01E2B" w:rsidRPr="00D01E2B">
        <w:rPr>
          <w:sz w:val="18"/>
          <w:szCs w:val="18"/>
        </w:rPr>
        <w:t>FINESSE dashboard visualizing ranked companies and ESG–Financial correlation.</w:t>
      </w:r>
    </w:p>
    <w:p w14:paraId="596393A5" w14:textId="77777777" w:rsidR="00373D44" w:rsidRDefault="00373D44" w:rsidP="004018D3">
      <w:pPr>
        <w:jc w:val="both"/>
      </w:pPr>
    </w:p>
    <w:p w14:paraId="3CB341B4" w14:textId="69A1839D" w:rsidR="004018D3" w:rsidRDefault="004018D3" w:rsidP="0057426F">
      <w:pPr>
        <w:ind w:firstLine="288"/>
        <w:jc w:val="both"/>
      </w:pPr>
      <w:r w:rsidRPr="004018D3">
        <w:lastRenderedPageBreak/>
        <w:t xml:space="preserve">Visualization was implemented using Matplotlib and Seaborn, embedded dynamically in Streamlit to enable real-time exploration of ESG–financial </w:t>
      </w:r>
      <w:r w:rsidR="008E2468" w:rsidRPr="004018D3">
        <w:t>dynamics</w:t>
      </w:r>
      <w:r w:rsidR="008E2468">
        <w:t xml:space="preserve"> [10].</w:t>
      </w:r>
    </w:p>
    <w:p w14:paraId="5591FEDE" w14:textId="2EFBF4F7" w:rsidR="004018D3" w:rsidRDefault="004018D3" w:rsidP="004018D3">
      <w:pPr>
        <w:pStyle w:val="Heading2"/>
      </w:pPr>
      <w:r>
        <w:t>Agentic AI Design</w:t>
      </w:r>
    </w:p>
    <w:p w14:paraId="5FEB00FE" w14:textId="44B717F4" w:rsidR="004018D3" w:rsidRPr="004018D3" w:rsidRDefault="004018D3" w:rsidP="0057426F">
      <w:pPr>
        <w:ind w:firstLine="288"/>
        <w:jc w:val="both"/>
      </w:pPr>
      <w:r w:rsidRPr="004018D3">
        <w:t xml:space="preserve">The final methodological component includes an AI module designed to provide reasoning based on real data through natural-language interaction. The chatbot uses a local Large Language Model (LLM) supported by Ollama, with TinyLlama as the backend </w:t>
      </w:r>
      <w:r w:rsidR="008E2468" w:rsidRPr="004018D3">
        <w:t>model</w:t>
      </w:r>
      <w:r w:rsidR="008E2468">
        <w:t xml:space="preserve"> [11].</w:t>
      </w:r>
      <w:r w:rsidR="009C73FB">
        <w:t xml:space="preserve"> </w:t>
      </w:r>
      <w:r w:rsidRPr="004018D3">
        <w:t xml:space="preserve">A structured prompting function, </w:t>
      </w:r>
      <w:r w:rsidRPr="004018D3">
        <w:rPr>
          <w:i/>
          <w:iCs/>
        </w:rPr>
        <w:t>build_strict_prompt()</w:t>
      </w:r>
      <w:r w:rsidRPr="004018D3">
        <w:t xml:space="preserve">, makes sure that all responses are tied closely to the dataset content. User questions like </w:t>
      </w:r>
      <w:r w:rsidRPr="004018D3">
        <w:rPr>
          <w:i/>
          <w:iCs/>
        </w:rPr>
        <w:t>“Explain why MSFT ranks highly</w:t>
      </w:r>
      <w:r w:rsidRPr="004018D3">
        <w:t>” or “</w:t>
      </w:r>
      <w:r w:rsidRPr="004018D3">
        <w:rPr>
          <w:i/>
          <w:iCs/>
        </w:rPr>
        <w:t>Show ESG for TSLA</w:t>
      </w:r>
      <w:r w:rsidRPr="004018D3">
        <w:t>” prompt the system to pull context from the DataFrame. It then generates LLM prompts that combine company metrics with domain instructions. Fallback rule-based responses address structured requests (like “top 5” or “show ESG for [ticker]”) to keep the information accurate and prevent errors.</w:t>
      </w:r>
      <w:r w:rsidR="009C73FB">
        <w:t xml:space="preserve"> </w:t>
      </w:r>
      <w:r w:rsidRPr="004018D3">
        <w:t xml:space="preserve">This integration lets the system mimic the reasoning process </w:t>
      </w:r>
      <w:r w:rsidRPr="008E2468">
        <w:t>of a financial analyst by basing recommendations on ESG and market data rather than relying on general knowledge</w:t>
      </w:r>
      <w:r w:rsidR="008E2468" w:rsidRPr="008E2468">
        <w:t xml:space="preserve"> [4,5,11, 12].</w:t>
      </w:r>
    </w:p>
    <w:p w14:paraId="5173794D" w14:textId="50A148C2" w:rsidR="009303D9" w:rsidRDefault="00741FE5" w:rsidP="006B6B66">
      <w:pPr>
        <w:pStyle w:val="Heading1"/>
      </w:pPr>
      <w:r>
        <w:t>RESULTS AND ANALYSIS</w:t>
      </w:r>
    </w:p>
    <w:p w14:paraId="1B104D1A" w14:textId="6BFAAB79" w:rsidR="00405B15" w:rsidRPr="00165DDB" w:rsidRDefault="00741FE5" w:rsidP="0057426F">
      <w:pPr>
        <w:ind w:firstLine="288"/>
        <w:jc w:val="left"/>
        <w:rPr>
          <w:rFonts w:eastAsia="Times New Roman"/>
          <w:lang w:val="en-AE" w:eastAsia="en-AE"/>
        </w:rPr>
      </w:pPr>
      <w:r w:rsidRPr="00741FE5">
        <w:rPr>
          <w:rFonts w:eastAsia="Times New Roman"/>
          <w:lang w:val="en-AE" w:eastAsia="en-AE"/>
        </w:rPr>
        <w:t>This section presents the results of experiments conducted using the proposed Agentic AI for Sustainable Finance framework and the FINESSE prototype. The results feature multi-dimensional analyses that integrate environmental, social, and governance (ESG) indicators with standard financial metrics, portfolio allocation strategies, and agentic reasoning performance</w:t>
      </w:r>
      <w:r w:rsidR="001C4A2E" w:rsidRPr="001C4A2E">
        <w:t xml:space="preserve"> </w:t>
      </w:r>
      <w:r w:rsidR="001C4A2E" w:rsidRPr="001C4A2E">
        <w:rPr>
          <w:rFonts w:eastAsia="Times New Roman"/>
          <w:lang w:eastAsia="en-AE"/>
        </w:rPr>
        <w:t>[1, 2, 6]</w:t>
      </w:r>
      <w:r w:rsidR="001C4A2E">
        <w:rPr>
          <w:rFonts w:eastAsia="Times New Roman"/>
          <w:lang w:eastAsia="en-AE"/>
        </w:rPr>
        <w:t xml:space="preserve">. </w:t>
      </w:r>
      <w:r w:rsidRPr="00741FE5">
        <w:rPr>
          <w:rFonts w:eastAsia="Times New Roman"/>
          <w:lang w:val="en-AE" w:eastAsia="en-AE"/>
        </w:rPr>
        <w:t xml:space="preserve"> Each subsection provides detailed insights into a key </w:t>
      </w:r>
      <w:r w:rsidR="008E2468" w:rsidRPr="00741FE5">
        <w:rPr>
          <w:rFonts w:eastAsia="Times New Roman"/>
          <w:lang w:val="en-AE" w:eastAsia="en-AE"/>
        </w:rPr>
        <w:t>visualization,</w:t>
      </w:r>
      <w:r w:rsidRPr="00741FE5">
        <w:rPr>
          <w:rFonts w:eastAsia="Times New Roman"/>
          <w:lang w:val="en-AE" w:eastAsia="en-AE"/>
        </w:rPr>
        <w:t xml:space="preserve"> and its significance shows.</w:t>
      </w:r>
    </w:p>
    <w:p w14:paraId="54494178" w14:textId="42212FF9" w:rsidR="009303D9" w:rsidRPr="00165DDB" w:rsidRDefault="00165DDB" w:rsidP="00165DDB">
      <w:pPr>
        <w:pStyle w:val="Heading2"/>
        <w:rPr>
          <w:rFonts w:eastAsia="Times New Roman"/>
        </w:rPr>
      </w:pPr>
      <w:r>
        <w:t>Correlation between ESG and Financial Metrics</w:t>
      </w:r>
    </w:p>
    <w:p w14:paraId="196169F8" w14:textId="3496C671" w:rsidR="007E0449" w:rsidRDefault="00165DDB" w:rsidP="0057426F">
      <w:pPr>
        <w:ind w:firstLine="288"/>
        <w:jc w:val="lowKashida"/>
        <w:rPr>
          <w:rFonts w:eastAsia="Times New Roman"/>
        </w:rPr>
      </w:pPr>
      <w:r w:rsidRPr="00165DDB">
        <w:rPr>
          <w:rFonts w:eastAsia="Times New Roman"/>
        </w:rPr>
        <w:t>A correlation matrix</w:t>
      </w:r>
      <w:r w:rsidR="00267807">
        <w:rPr>
          <w:rFonts w:eastAsia="Times New Roman"/>
        </w:rPr>
        <w:t xml:space="preserve"> as displayed in Fig</w:t>
      </w:r>
      <w:r w:rsidR="00DA78B4">
        <w:rPr>
          <w:rFonts w:eastAsia="Times New Roman"/>
        </w:rPr>
        <w:t xml:space="preserve">. </w:t>
      </w:r>
      <w:r w:rsidR="00267807">
        <w:rPr>
          <w:rFonts w:eastAsia="Times New Roman"/>
        </w:rPr>
        <w:t xml:space="preserve">2 below, </w:t>
      </w:r>
      <w:r w:rsidRPr="00165DDB">
        <w:rPr>
          <w:rFonts w:eastAsia="Times New Roman"/>
        </w:rPr>
        <w:t xml:space="preserve">was created to </w:t>
      </w:r>
      <w:r w:rsidR="00267807" w:rsidRPr="00165DDB">
        <w:rPr>
          <w:rFonts w:eastAsia="Times New Roman"/>
        </w:rPr>
        <w:t>analyze</w:t>
      </w:r>
      <w:r w:rsidRPr="00165DDB">
        <w:rPr>
          <w:rFonts w:eastAsia="Times New Roman"/>
        </w:rPr>
        <w:t xml:space="preserve"> the relationships between sustainability-focused variables and traditional financial ratios among 19 publicly traded companies</w:t>
      </w:r>
      <w:r w:rsidR="001C4A2E" w:rsidRPr="001C4A2E">
        <w:rPr>
          <w:b/>
          <w:bCs/>
        </w:rPr>
        <w:t xml:space="preserve"> </w:t>
      </w:r>
      <w:r w:rsidR="001C4A2E" w:rsidRPr="001C4A2E">
        <w:rPr>
          <w:rFonts w:eastAsia="Times New Roman"/>
        </w:rPr>
        <w:t>[1,2].</w:t>
      </w:r>
    </w:p>
    <w:p w14:paraId="64B136A4" w14:textId="77777777" w:rsidR="002C4A60" w:rsidRDefault="002C4A60" w:rsidP="00F854C4">
      <w:pPr>
        <w:jc w:val="lowKashida"/>
        <w:rPr>
          <w:rFonts w:eastAsia="Times New Roman"/>
        </w:rPr>
      </w:pPr>
    </w:p>
    <w:p w14:paraId="55DEE751" w14:textId="20BB1A29" w:rsidR="002C4A60" w:rsidRPr="002C4A60" w:rsidRDefault="00DE6764" w:rsidP="002C4A60">
      <w:pPr>
        <w:rPr>
          <w:rFonts w:eastAsia="Times New Roman"/>
          <w:lang w:val="en-AE"/>
        </w:rPr>
      </w:pPr>
      <w:r w:rsidRPr="00DE6764">
        <w:rPr>
          <w:rFonts w:eastAsia="Times New Roman"/>
          <w:noProof/>
          <w:lang w:val="en-AE"/>
        </w:rPr>
        <w:drawing>
          <wp:inline distT="0" distB="0" distL="0" distR="0" wp14:anchorId="44E754B6" wp14:editId="2314EDCE">
            <wp:extent cx="3089910" cy="2477770"/>
            <wp:effectExtent l="0" t="0" r="0" b="0"/>
            <wp:docPr id="5335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9671" name=""/>
                    <pic:cNvPicPr/>
                  </pic:nvPicPr>
                  <pic:blipFill>
                    <a:blip r:embed="rId9"/>
                    <a:stretch>
                      <a:fillRect/>
                    </a:stretch>
                  </pic:blipFill>
                  <pic:spPr>
                    <a:xfrm>
                      <a:off x="0" y="0"/>
                      <a:ext cx="3089910" cy="2477770"/>
                    </a:xfrm>
                    <a:prstGeom prst="rect">
                      <a:avLst/>
                    </a:prstGeom>
                  </pic:spPr>
                </pic:pic>
              </a:graphicData>
            </a:graphic>
          </wp:inline>
        </w:drawing>
      </w:r>
    </w:p>
    <w:p w14:paraId="34A570E1" w14:textId="2449AB77" w:rsidR="002C4A60" w:rsidRPr="002C4A60" w:rsidRDefault="002C4A60" w:rsidP="002C4A60">
      <w:pPr>
        <w:rPr>
          <w:rFonts w:eastAsia="Times New Roman"/>
          <w:sz w:val="18"/>
          <w:szCs w:val="18"/>
        </w:rPr>
      </w:pPr>
      <w:r w:rsidRPr="002C4A60">
        <w:rPr>
          <w:rFonts w:eastAsia="Times New Roman"/>
          <w:sz w:val="18"/>
          <w:szCs w:val="18"/>
        </w:rPr>
        <w:t>Fig.</w:t>
      </w:r>
      <w:r w:rsidR="00267807">
        <w:rPr>
          <w:rFonts w:eastAsia="Times New Roman"/>
          <w:sz w:val="18"/>
          <w:szCs w:val="18"/>
        </w:rPr>
        <w:t xml:space="preserve"> </w:t>
      </w:r>
      <w:r w:rsidR="00D01E2B">
        <w:rPr>
          <w:rFonts w:eastAsia="Times New Roman"/>
          <w:sz w:val="18"/>
          <w:szCs w:val="18"/>
        </w:rPr>
        <w:t>2</w:t>
      </w:r>
      <w:r w:rsidRPr="002C4A60">
        <w:rPr>
          <w:rFonts w:eastAsia="Times New Roman"/>
          <w:sz w:val="18"/>
          <w:szCs w:val="18"/>
        </w:rPr>
        <w:t>. Correlation Heatmap between ESG and financial metrics</w:t>
      </w:r>
    </w:p>
    <w:p w14:paraId="0E4E53A0" w14:textId="77777777" w:rsidR="00677C6A" w:rsidRDefault="00677C6A" w:rsidP="007E0449">
      <w:pPr>
        <w:jc w:val="left"/>
        <w:rPr>
          <w:rFonts w:eastAsia="Times New Roman"/>
        </w:rPr>
      </w:pPr>
    </w:p>
    <w:p w14:paraId="560A6A31" w14:textId="0A0A9A10" w:rsidR="00C70EE8" w:rsidRPr="001C4A2E" w:rsidRDefault="002C4A60" w:rsidP="0057426F">
      <w:pPr>
        <w:ind w:firstLine="288"/>
        <w:jc w:val="left"/>
        <w:rPr>
          <w:rFonts w:eastAsia="Times New Roman"/>
        </w:rPr>
      </w:pPr>
      <w:r w:rsidRPr="002C4A60">
        <w:rPr>
          <w:rFonts w:eastAsia="Times New Roman"/>
        </w:rPr>
        <w:t>The heatmap shows a few important trends. The ESG_Score has a strong positive correlation (r = 0.64) with the Governance</w:t>
      </w:r>
      <w:r>
        <w:rPr>
          <w:rFonts w:eastAsia="Times New Roman"/>
        </w:rPr>
        <w:t xml:space="preserve"> </w:t>
      </w:r>
      <w:r w:rsidRPr="002C4A60">
        <w:rPr>
          <w:rFonts w:eastAsia="Times New Roman"/>
        </w:rPr>
        <w:t xml:space="preserve">Score. This means that organizations with </w:t>
      </w:r>
      <w:r w:rsidRPr="002C4A60">
        <w:rPr>
          <w:rFonts w:eastAsia="Times New Roman"/>
        </w:rPr>
        <w:t>strong governance structures tend to have better overall ESG performance. On the other hand, Debt</w:t>
      </w:r>
      <w:r>
        <w:rPr>
          <w:rFonts w:eastAsia="Times New Roman"/>
        </w:rPr>
        <w:t xml:space="preserve"> </w:t>
      </w:r>
      <w:r w:rsidRPr="002C4A60">
        <w:rPr>
          <w:rFonts w:eastAsia="Times New Roman"/>
        </w:rPr>
        <w:t>to</w:t>
      </w:r>
      <w:r>
        <w:rPr>
          <w:rFonts w:eastAsia="Times New Roman"/>
        </w:rPr>
        <w:t xml:space="preserve"> </w:t>
      </w:r>
      <w:r w:rsidRPr="002C4A60">
        <w:rPr>
          <w:rFonts w:eastAsia="Times New Roman"/>
        </w:rPr>
        <w:t>Equity</w:t>
      </w:r>
      <w:r>
        <w:rPr>
          <w:rFonts w:eastAsia="Times New Roman"/>
        </w:rPr>
        <w:t xml:space="preserve"> </w:t>
      </w:r>
      <w:r w:rsidRPr="002C4A60">
        <w:rPr>
          <w:rFonts w:eastAsia="Times New Roman"/>
        </w:rPr>
        <w:t>Ratio has a negative correlation (r = –0.41) with Financial</w:t>
      </w:r>
      <w:r>
        <w:rPr>
          <w:rFonts w:eastAsia="Times New Roman"/>
        </w:rPr>
        <w:t xml:space="preserve"> </w:t>
      </w:r>
      <w:r w:rsidRPr="002C4A60">
        <w:rPr>
          <w:rFonts w:eastAsia="Times New Roman"/>
        </w:rPr>
        <w:t>Score, which means that companies that manage their debt wisely tend to have better financial health.</w:t>
      </w:r>
      <w:r w:rsidR="009C73FB">
        <w:rPr>
          <w:rFonts w:eastAsia="Times New Roman"/>
        </w:rPr>
        <w:t xml:space="preserve"> </w:t>
      </w:r>
      <w:r w:rsidRPr="001C4A2E">
        <w:rPr>
          <w:rFonts w:eastAsia="Times New Roman"/>
        </w:rPr>
        <w:t>These results confirm that sustainability and profitability are not separate dimensions but rather complementary aspects of corporate resilience</w:t>
      </w:r>
      <w:r w:rsidR="00DA78B4">
        <w:t xml:space="preserve">   </w:t>
      </w:r>
      <w:r w:rsidR="001C4A2E" w:rsidRPr="001C4A2E">
        <w:rPr>
          <w:rFonts w:eastAsia="Times New Roman"/>
        </w:rPr>
        <w:t>[1, 2, 3].</w:t>
      </w:r>
      <w:r w:rsidRPr="001C4A2E">
        <w:rPr>
          <w:rFonts w:eastAsia="Times New Roman"/>
        </w:rPr>
        <w:t xml:space="preserve"> The correlation patterns confirm that governance and leverage-related indicators should be part of the model's scoring system</w:t>
      </w:r>
      <w:r w:rsidR="001C4A2E" w:rsidRPr="001C4A2E">
        <w:t xml:space="preserve"> </w:t>
      </w:r>
      <w:r w:rsidR="001C4A2E" w:rsidRPr="001C4A2E">
        <w:rPr>
          <w:rFonts w:eastAsia="Times New Roman"/>
        </w:rPr>
        <w:t>[3,7,8].</w:t>
      </w:r>
    </w:p>
    <w:p w14:paraId="588F61D7" w14:textId="4059BC3A" w:rsidR="00356BAC" w:rsidRPr="001C4A2E" w:rsidRDefault="00F55F63" w:rsidP="00356BAC">
      <w:pPr>
        <w:pStyle w:val="Heading2"/>
      </w:pPr>
      <w:r w:rsidRPr="001C4A2E">
        <w:t>Company Ranking Based on Composite Scores</w:t>
      </w:r>
    </w:p>
    <w:p w14:paraId="0FA9698C" w14:textId="6FA5C84E" w:rsidR="00356BAC" w:rsidRDefault="00F55F63" w:rsidP="0057426F">
      <w:pPr>
        <w:ind w:firstLine="288"/>
        <w:jc w:val="lowKashida"/>
        <w:rPr>
          <w:rFonts w:eastAsia="Times New Roman"/>
        </w:rPr>
      </w:pPr>
      <w:r w:rsidRPr="00F55F63">
        <w:rPr>
          <w:rFonts w:eastAsia="Times New Roman"/>
        </w:rPr>
        <w:t>The composite FinalScore, which is a weighted mean of the ESG</w:t>
      </w:r>
      <w:r>
        <w:rPr>
          <w:rFonts w:eastAsia="Times New Roman"/>
        </w:rPr>
        <w:t xml:space="preserve"> </w:t>
      </w:r>
      <w:r w:rsidRPr="00F55F63">
        <w:rPr>
          <w:rFonts w:eastAsia="Times New Roman"/>
        </w:rPr>
        <w:t>Score and Financial</w:t>
      </w:r>
      <w:r>
        <w:rPr>
          <w:rFonts w:eastAsia="Times New Roman"/>
        </w:rPr>
        <w:t xml:space="preserve"> </w:t>
      </w:r>
      <w:r w:rsidRPr="00F55F63">
        <w:rPr>
          <w:rFonts w:eastAsia="Times New Roman"/>
        </w:rPr>
        <w:t xml:space="preserve">Score, was used to rank each company. Sensitivity to changes in weighting was examined for both 50–50 (equal weighting) and 60–40 (financially biassed) </w:t>
      </w:r>
      <w:r w:rsidR="001C4A2E" w:rsidRPr="00F55F63">
        <w:rPr>
          <w:rFonts w:eastAsia="Times New Roman"/>
        </w:rPr>
        <w:t>schemes</w:t>
      </w:r>
      <w:r w:rsidR="001C4A2E">
        <w:rPr>
          <w:rFonts w:eastAsia="Times New Roman"/>
        </w:rPr>
        <w:t xml:space="preserve"> [6].</w:t>
      </w:r>
    </w:p>
    <w:p w14:paraId="04C36494" w14:textId="77777777" w:rsidR="00893978" w:rsidRDefault="00893978" w:rsidP="00356BAC">
      <w:pPr>
        <w:jc w:val="lowKashida"/>
        <w:rPr>
          <w:rFonts w:eastAsia="Times New Roman"/>
        </w:rPr>
      </w:pPr>
    </w:p>
    <w:p w14:paraId="3BB0B35B" w14:textId="7EDB980A" w:rsidR="00893978" w:rsidRDefault="00893978" w:rsidP="00356BAC">
      <w:pPr>
        <w:jc w:val="lowKashida"/>
        <w:rPr>
          <w:rFonts w:eastAsia="Times New Roman"/>
        </w:rPr>
      </w:pPr>
      <w:r w:rsidRPr="00893978">
        <w:rPr>
          <w:rFonts w:eastAsia="Times New Roman"/>
          <w:noProof/>
        </w:rPr>
        <w:drawing>
          <wp:inline distT="0" distB="0" distL="0" distR="0" wp14:anchorId="4964AF25" wp14:editId="36A347C1">
            <wp:extent cx="3089910" cy="1809750"/>
            <wp:effectExtent l="0" t="0" r="0" b="0"/>
            <wp:docPr id="28036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2341" name=""/>
                    <pic:cNvPicPr/>
                  </pic:nvPicPr>
                  <pic:blipFill>
                    <a:blip r:embed="rId10"/>
                    <a:stretch>
                      <a:fillRect/>
                    </a:stretch>
                  </pic:blipFill>
                  <pic:spPr>
                    <a:xfrm>
                      <a:off x="0" y="0"/>
                      <a:ext cx="3092533" cy="1811286"/>
                    </a:xfrm>
                    <a:prstGeom prst="rect">
                      <a:avLst/>
                    </a:prstGeom>
                  </pic:spPr>
                </pic:pic>
              </a:graphicData>
            </a:graphic>
          </wp:inline>
        </w:drawing>
      </w:r>
    </w:p>
    <w:p w14:paraId="3A15E83A" w14:textId="0BB460A6" w:rsidR="00F55F63" w:rsidRPr="00A36543" w:rsidRDefault="00A36543" w:rsidP="00A36543">
      <w:pPr>
        <w:rPr>
          <w:rFonts w:eastAsia="Times New Roman"/>
          <w:sz w:val="18"/>
          <w:szCs w:val="18"/>
        </w:rPr>
      </w:pPr>
      <w:r w:rsidRPr="00A36543">
        <w:rPr>
          <w:rFonts w:eastAsia="Times New Roman"/>
          <w:sz w:val="18"/>
          <w:szCs w:val="18"/>
        </w:rPr>
        <w:t>Fig.</w:t>
      </w:r>
      <w:r w:rsidR="003F5638">
        <w:rPr>
          <w:rFonts w:eastAsia="Times New Roman"/>
          <w:sz w:val="18"/>
          <w:szCs w:val="18"/>
        </w:rPr>
        <w:t xml:space="preserve"> </w:t>
      </w:r>
      <w:r w:rsidR="00D01E2B">
        <w:rPr>
          <w:rFonts w:eastAsia="Times New Roman"/>
          <w:sz w:val="18"/>
          <w:szCs w:val="18"/>
        </w:rPr>
        <w:t>3</w:t>
      </w:r>
      <w:r w:rsidRPr="00A36543">
        <w:rPr>
          <w:rFonts w:eastAsia="Times New Roman"/>
          <w:sz w:val="18"/>
          <w:szCs w:val="18"/>
        </w:rPr>
        <w:t>.</w:t>
      </w:r>
      <w:r w:rsidRPr="00A36543">
        <w:rPr>
          <w:sz w:val="18"/>
          <w:szCs w:val="18"/>
        </w:rPr>
        <w:t xml:space="preserve"> </w:t>
      </w:r>
      <w:r w:rsidRPr="00A36543">
        <w:rPr>
          <w:rFonts w:eastAsia="Times New Roman"/>
          <w:sz w:val="18"/>
          <w:szCs w:val="18"/>
        </w:rPr>
        <w:t>Comparative ranking of top 10 companies under 50–50 and 60–40 finance–ESG weighting schemes.</w:t>
      </w:r>
    </w:p>
    <w:p w14:paraId="4C35D705" w14:textId="77777777" w:rsidR="00166A0F" w:rsidRDefault="00166A0F" w:rsidP="00356BAC">
      <w:pPr>
        <w:jc w:val="lowKashida"/>
        <w:rPr>
          <w:rFonts w:eastAsia="Times New Roman"/>
        </w:rPr>
      </w:pPr>
    </w:p>
    <w:p w14:paraId="75C4FB9C" w14:textId="11FE1A85" w:rsidR="0057426F" w:rsidRDefault="00A36543" w:rsidP="0057426F">
      <w:pPr>
        <w:ind w:firstLine="288"/>
        <w:jc w:val="lowKashida"/>
        <w:rPr>
          <w:rFonts w:eastAsia="Times New Roman"/>
          <w:lang w:val="en-AE"/>
        </w:rPr>
      </w:pPr>
      <w:r w:rsidRPr="00A36543">
        <w:rPr>
          <w:rFonts w:eastAsia="Times New Roman"/>
          <w:lang w:val="en-AE"/>
        </w:rPr>
        <w:t>According to the findings</w:t>
      </w:r>
      <w:r w:rsidR="00267807">
        <w:rPr>
          <w:rFonts w:eastAsia="Times New Roman"/>
          <w:lang w:val="en-AE"/>
        </w:rPr>
        <w:t xml:space="preserve"> from Fig</w:t>
      </w:r>
      <w:r w:rsidR="00DA78B4">
        <w:rPr>
          <w:rFonts w:eastAsia="Times New Roman"/>
          <w:lang w:val="en-AE"/>
        </w:rPr>
        <w:t xml:space="preserve">. </w:t>
      </w:r>
      <w:r w:rsidR="00267807">
        <w:rPr>
          <w:rFonts w:eastAsia="Times New Roman"/>
          <w:lang w:val="en-AE"/>
        </w:rPr>
        <w:t>3</w:t>
      </w:r>
      <w:r w:rsidRPr="00A36543">
        <w:rPr>
          <w:rFonts w:eastAsia="Times New Roman"/>
          <w:lang w:val="en-AE"/>
        </w:rPr>
        <w:t>,</w:t>
      </w:r>
      <w:r w:rsidR="00267807">
        <w:rPr>
          <w:rFonts w:eastAsia="Times New Roman"/>
          <w:lang w:val="en-AE"/>
        </w:rPr>
        <w:t xml:space="preserve"> </w:t>
      </w:r>
      <w:r w:rsidRPr="00A36543">
        <w:rPr>
          <w:rFonts w:eastAsia="Times New Roman"/>
          <w:lang w:val="en-AE"/>
        </w:rPr>
        <w:t xml:space="preserve">Microsoft (MSFT), ExxonMobil (XOM), and Tesla (TSLA) continuously obtained the highest composite scores in both configurations. These businesses demonstrate above-average ESG profiles and solid financial performance, confirming the system's capacity to strike a balance between sustainability and </w:t>
      </w:r>
      <w:r w:rsidRPr="001C4A2E">
        <w:rPr>
          <w:rFonts w:eastAsia="Times New Roman"/>
          <w:lang w:val="en-AE"/>
        </w:rPr>
        <w:t>profitability</w:t>
      </w:r>
      <w:r w:rsidR="001C4A2E" w:rsidRPr="001C4A2E">
        <w:t xml:space="preserve"> </w:t>
      </w:r>
      <w:r w:rsidR="001C4A2E" w:rsidRPr="001C4A2E">
        <w:rPr>
          <w:rFonts w:eastAsia="Times New Roman"/>
        </w:rPr>
        <w:t>[1,2</w:t>
      </w:r>
      <w:r w:rsidR="00DA78B4">
        <w:rPr>
          <w:rFonts w:eastAsia="Times New Roman"/>
        </w:rPr>
        <w:t>]</w:t>
      </w:r>
      <w:r w:rsidR="001C4A2E" w:rsidRPr="001C4A2E">
        <w:rPr>
          <w:rFonts w:eastAsia="Times New Roman"/>
        </w:rPr>
        <w:t>.</w:t>
      </w:r>
      <w:r w:rsidR="009C73FB">
        <w:rPr>
          <w:rFonts w:eastAsia="Times New Roman"/>
          <w:lang w:val="en-AE"/>
        </w:rPr>
        <w:t xml:space="preserve"> </w:t>
      </w:r>
    </w:p>
    <w:p w14:paraId="7CA8729C" w14:textId="1484D6F9" w:rsidR="0086691C" w:rsidRPr="009C73FB" w:rsidRDefault="00A36543" w:rsidP="0057426F">
      <w:pPr>
        <w:ind w:firstLine="288"/>
        <w:jc w:val="lowKashida"/>
        <w:rPr>
          <w:rFonts w:eastAsia="Times New Roman"/>
          <w:lang w:val="en-AE"/>
        </w:rPr>
      </w:pPr>
      <w:r w:rsidRPr="00A36543">
        <w:rPr>
          <w:rFonts w:eastAsia="Times New Roman"/>
          <w:lang w:val="en-AE"/>
        </w:rPr>
        <w:t>ExxonMobil and Microsoft are in the lead because of their strong financial foundations and sound governance metrics, while Tesla is in the lead because of its significant sustainability impact and involvement in renewable energy.</w:t>
      </w:r>
      <w:r w:rsidRPr="00A36543">
        <w:rPr>
          <w:rFonts w:eastAsia="Times New Roman"/>
          <w:lang w:val="en-AE"/>
        </w:rPr>
        <w:br/>
        <w:t xml:space="preserve">Though financial weighting slightly favours capital-intensive companies, ESG-oriented firms remain competitive under balanced </w:t>
      </w:r>
      <w:r w:rsidRPr="001C4A2E">
        <w:rPr>
          <w:rFonts w:eastAsia="Times New Roman"/>
          <w:lang w:val="en-AE"/>
        </w:rPr>
        <w:t>evaluation, as evidenced by the slight ranking fluctuations between the 50–50 and 60–40 schemes, especially for firms like AAPL (Apple)</w:t>
      </w:r>
      <w:r w:rsidR="001C4A2E">
        <w:rPr>
          <w:rFonts w:eastAsia="Times New Roman"/>
          <w:lang w:val="en-AE"/>
        </w:rPr>
        <w:t xml:space="preserve"> </w:t>
      </w:r>
      <w:r w:rsidR="001C4A2E" w:rsidRPr="001C4A2E">
        <w:rPr>
          <w:rFonts w:eastAsia="Times New Roman"/>
          <w:lang w:val="en-AE"/>
        </w:rPr>
        <w:t>[6].</w:t>
      </w:r>
      <w:r w:rsidR="009C73FB">
        <w:rPr>
          <w:rFonts w:eastAsia="Times New Roman"/>
          <w:lang w:val="en-AE"/>
        </w:rPr>
        <w:t xml:space="preserve"> </w:t>
      </w:r>
      <w:r w:rsidRPr="001C4A2E">
        <w:rPr>
          <w:rFonts w:eastAsia="Times New Roman"/>
        </w:rPr>
        <w:t>This ranking behavior confirms the model's ability to generate sector-consistent, interpretable evaluations by validating its internal logic</w:t>
      </w:r>
      <w:r w:rsidR="001C4A2E" w:rsidRPr="001C4A2E">
        <w:t xml:space="preserve"> </w:t>
      </w:r>
      <w:r w:rsidR="001C4A2E" w:rsidRPr="001C4A2E">
        <w:rPr>
          <w:rFonts w:eastAsia="Times New Roman"/>
        </w:rPr>
        <w:t>[4,5</w:t>
      </w:r>
      <w:r w:rsidR="00DA78B4">
        <w:rPr>
          <w:rFonts w:eastAsia="Times New Roman"/>
        </w:rPr>
        <w:t>,</w:t>
      </w:r>
      <w:r w:rsidR="001C4A2E" w:rsidRPr="001C4A2E">
        <w:rPr>
          <w:rFonts w:eastAsia="Times New Roman"/>
        </w:rPr>
        <w:t>6].</w:t>
      </w:r>
    </w:p>
    <w:p w14:paraId="273EEEA4" w14:textId="6B3B7D89" w:rsidR="0002784A" w:rsidRDefault="00F138A4" w:rsidP="00205CDD">
      <w:pPr>
        <w:pStyle w:val="Heading2"/>
      </w:pPr>
      <w:r w:rsidRPr="00F138A4">
        <w:t>Financial</w:t>
      </w:r>
      <w:r>
        <w:t xml:space="preserve"> Metrics </w:t>
      </w:r>
      <w:r w:rsidRPr="00F138A4">
        <w:t>vs ESG Trade-off Visualization</w:t>
      </w:r>
    </w:p>
    <w:p w14:paraId="5C902222" w14:textId="2276C835" w:rsidR="00B75A49" w:rsidRDefault="00B75A49" w:rsidP="0057426F">
      <w:pPr>
        <w:ind w:firstLine="288"/>
        <w:jc w:val="left"/>
        <w:rPr>
          <w:rFonts w:eastAsia="Times New Roman"/>
          <w:lang w:val="en-AE" w:eastAsia="en-AE"/>
        </w:rPr>
      </w:pPr>
      <w:r w:rsidRPr="00B75A49">
        <w:rPr>
          <w:rFonts w:eastAsia="Times New Roman"/>
          <w:lang w:val="en-AE" w:eastAsia="en-AE"/>
        </w:rPr>
        <w:t>A two-dimensional scatter plot comparing Financial</w:t>
      </w:r>
      <w:r>
        <w:rPr>
          <w:rFonts w:eastAsia="Times New Roman"/>
          <w:lang w:val="en-AE" w:eastAsia="en-AE"/>
        </w:rPr>
        <w:t xml:space="preserve"> </w:t>
      </w:r>
      <w:r w:rsidRPr="00B75A49">
        <w:rPr>
          <w:rFonts w:eastAsia="Times New Roman"/>
          <w:lang w:val="en-AE" w:eastAsia="en-AE"/>
        </w:rPr>
        <w:t>and ESG</w:t>
      </w:r>
      <w:r>
        <w:rPr>
          <w:rFonts w:eastAsia="Times New Roman"/>
          <w:lang w:val="en-AE" w:eastAsia="en-AE"/>
        </w:rPr>
        <w:t xml:space="preserve"> </w:t>
      </w:r>
      <w:r w:rsidRPr="00B75A49">
        <w:rPr>
          <w:rFonts w:eastAsia="Times New Roman"/>
          <w:lang w:val="en-AE" w:eastAsia="en-AE"/>
        </w:rPr>
        <w:t xml:space="preserve">Score was created </w:t>
      </w:r>
      <w:r w:rsidR="001C4A2E" w:rsidRPr="00B75A49">
        <w:rPr>
          <w:rFonts w:eastAsia="Times New Roman"/>
          <w:lang w:val="en-AE" w:eastAsia="en-AE"/>
        </w:rPr>
        <w:t>to</w:t>
      </w:r>
      <w:r w:rsidRPr="00B75A49">
        <w:rPr>
          <w:rFonts w:eastAsia="Times New Roman"/>
          <w:lang w:val="en-AE" w:eastAsia="en-AE"/>
        </w:rPr>
        <w:t xml:space="preserve"> evaluate the relationship between sustainability and profitability dimensions</w:t>
      </w:r>
      <w:r w:rsidR="001C4A2E" w:rsidRPr="001C4A2E">
        <w:t xml:space="preserve"> </w:t>
      </w:r>
      <w:r w:rsidR="001C4A2E" w:rsidRPr="001C4A2E">
        <w:rPr>
          <w:rFonts w:eastAsia="Times New Roman"/>
          <w:lang w:eastAsia="en-AE"/>
        </w:rPr>
        <w:t>[1,2,6]</w:t>
      </w:r>
      <w:r w:rsidR="001C4A2E">
        <w:rPr>
          <w:rFonts w:eastAsia="Times New Roman"/>
          <w:lang w:eastAsia="en-AE"/>
        </w:rPr>
        <w:t>.</w:t>
      </w:r>
    </w:p>
    <w:p w14:paraId="6F52FE6D" w14:textId="0EDEF22B" w:rsidR="00605D67" w:rsidRDefault="00B75A49" w:rsidP="00B75A49">
      <w:pPr>
        <w:jc w:val="left"/>
        <w:rPr>
          <w:rFonts w:eastAsia="Times New Roman"/>
          <w:lang w:val="en-AE" w:eastAsia="en-AE"/>
        </w:rPr>
      </w:pPr>
      <w:r w:rsidRPr="00B75A49">
        <w:rPr>
          <w:rFonts w:eastAsia="Times New Roman"/>
          <w:noProof/>
          <w:lang w:val="en-AE" w:eastAsia="en-AE"/>
        </w:rPr>
        <w:lastRenderedPageBreak/>
        <w:drawing>
          <wp:inline distT="0" distB="0" distL="0" distR="0" wp14:anchorId="415385AC" wp14:editId="4F67F331">
            <wp:extent cx="2822510" cy="1814195"/>
            <wp:effectExtent l="0" t="0" r="0" b="0"/>
            <wp:docPr id="1389957492"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7492" name="Picture 1" descr="A graph of different colored dots&#10;&#10;AI-generated content may be incorrect."/>
                    <pic:cNvPicPr/>
                  </pic:nvPicPr>
                  <pic:blipFill>
                    <a:blip r:embed="rId11"/>
                    <a:stretch>
                      <a:fillRect/>
                    </a:stretch>
                  </pic:blipFill>
                  <pic:spPr>
                    <a:xfrm>
                      <a:off x="0" y="0"/>
                      <a:ext cx="2861184" cy="1839053"/>
                    </a:xfrm>
                    <a:prstGeom prst="rect">
                      <a:avLst/>
                    </a:prstGeom>
                  </pic:spPr>
                </pic:pic>
              </a:graphicData>
            </a:graphic>
          </wp:inline>
        </w:drawing>
      </w:r>
    </w:p>
    <w:p w14:paraId="159004B5" w14:textId="77541095" w:rsidR="00605D67" w:rsidRPr="00605D67" w:rsidRDefault="00605D67" w:rsidP="00605D67">
      <w:pPr>
        <w:rPr>
          <w:rFonts w:eastAsia="Times New Roman"/>
          <w:sz w:val="18"/>
          <w:szCs w:val="18"/>
          <w:lang w:val="en-AE" w:eastAsia="en-AE"/>
        </w:rPr>
      </w:pPr>
      <w:r w:rsidRPr="00605D67">
        <w:rPr>
          <w:rFonts w:eastAsia="Times New Roman"/>
          <w:sz w:val="18"/>
          <w:szCs w:val="18"/>
          <w:lang w:val="en-AE" w:eastAsia="en-AE"/>
        </w:rPr>
        <w:t>Fig.</w:t>
      </w:r>
      <w:r w:rsidR="00267807">
        <w:rPr>
          <w:rFonts w:eastAsia="Times New Roman"/>
          <w:sz w:val="18"/>
          <w:szCs w:val="18"/>
          <w:lang w:val="en-AE" w:eastAsia="en-AE"/>
        </w:rPr>
        <w:t xml:space="preserve"> </w:t>
      </w:r>
      <w:r w:rsidR="00D01E2B">
        <w:rPr>
          <w:rFonts w:eastAsia="Times New Roman"/>
          <w:sz w:val="18"/>
          <w:szCs w:val="18"/>
          <w:lang w:val="en-AE" w:eastAsia="en-AE"/>
        </w:rPr>
        <w:t>4</w:t>
      </w:r>
      <w:r w:rsidRPr="00605D67">
        <w:rPr>
          <w:rFonts w:eastAsia="Times New Roman"/>
          <w:sz w:val="18"/>
          <w:szCs w:val="18"/>
          <w:lang w:val="en-AE" w:eastAsia="en-AE"/>
        </w:rPr>
        <w:t>.</w:t>
      </w:r>
      <w:r w:rsidR="00267807">
        <w:rPr>
          <w:sz w:val="18"/>
          <w:szCs w:val="18"/>
        </w:rPr>
        <w:t xml:space="preserve"> </w:t>
      </w:r>
      <w:r w:rsidRPr="00605D67">
        <w:rPr>
          <w:rFonts w:eastAsia="Times New Roman"/>
          <w:sz w:val="18"/>
          <w:szCs w:val="18"/>
          <w:lang w:eastAsia="en-AE"/>
        </w:rPr>
        <w:t>Scatter Plot of Financial_Score vs ESG_Score.</w:t>
      </w:r>
    </w:p>
    <w:p w14:paraId="3D83BCE0" w14:textId="77777777" w:rsidR="00D01E2B" w:rsidRDefault="00D01E2B" w:rsidP="00B75A49">
      <w:pPr>
        <w:pStyle w:val="BodyText"/>
        <w:ind w:firstLine="0"/>
      </w:pPr>
    </w:p>
    <w:p w14:paraId="1133C61E" w14:textId="029FF46C" w:rsidR="0057426F" w:rsidRDefault="0057426F" w:rsidP="00B75A49">
      <w:pPr>
        <w:pStyle w:val="BodyText"/>
        <w:ind w:firstLine="0"/>
        <w:rPr>
          <w:lang w:val="en-US"/>
        </w:rPr>
      </w:pPr>
      <w:r>
        <w:tab/>
      </w:r>
      <w:r w:rsidR="00B75A49">
        <w:rPr>
          <w:rFonts w:hint="eastAsia"/>
        </w:rPr>
        <w:t>The findings</w:t>
      </w:r>
      <w:r w:rsidR="00267807">
        <w:t xml:space="preserve"> from Fig</w:t>
      </w:r>
      <w:r w:rsidR="00DA78B4">
        <w:t xml:space="preserve">. </w:t>
      </w:r>
      <w:r w:rsidR="00267807">
        <w:t xml:space="preserve">4, </w:t>
      </w:r>
      <w:r w:rsidR="00B75A49">
        <w:rPr>
          <w:rFonts w:hint="eastAsia"/>
        </w:rPr>
        <w:t>indicate a positive alignment (</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B75A49">
        <w:rPr>
          <w:rFonts w:hint="eastAsia"/>
        </w:rPr>
        <w:t xml:space="preserve"> </w:t>
      </w:r>
      <w:r w:rsidR="00B75A49">
        <w:rPr>
          <w:rFonts w:hint="eastAsia"/>
        </w:rPr>
        <w:t>≈</w:t>
      </w:r>
      <w:r w:rsidR="00B75A49">
        <w:rPr>
          <w:rFonts w:hint="eastAsia"/>
        </w:rPr>
        <w:t xml:space="preserve"> 0.52) between the financial performance of businesses and their level of ESG compliance. The majority of businesses are grouped in the upper-right quadrant, which denotes balanced excellence in both areas. T</w:t>
      </w:r>
      <w:r w:rsidR="00B75A49">
        <w:t xml:space="preserve">his quadrant is dominated by technology companies, whereas manufacturing and energy firms are more widely distributed because of their exposure to operational and regulatory </w:t>
      </w:r>
      <w:r w:rsidR="00B75A49" w:rsidRPr="001C4A2E">
        <w:t>risk</w:t>
      </w:r>
      <w:r w:rsidR="001C4A2E" w:rsidRPr="001C4A2E">
        <w:rPr>
          <w:spacing w:val="0"/>
          <w:lang w:val="en-US" w:eastAsia="en-US"/>
        </w:rPr>
        <w:t xml:space="preserve"> </w:t>
      </w:r>
      <w:r w:rsidR="001C4A2E" w:rsidRPr="001C4A2E">
        <w:rPr>
          <w:lang w:val="en-US"/>
        </w:rPr>
        <w:t>[3,7,8]</w:t>
      </w:r>
      <w:r w:rsidR="009C73FB">
        <w:rPr>
          <w:lang w:val="en-US"/>
        </w:rPr>
        <w:t>.</w:t>
      </w:r>
      <w:r>
        <w:rPr>
          <w:lang w:val="en-US"/>
        </w:rPr>
        <w:t xml:space="preserve"> </w:t>
      </w:r>
    </w:p>
    <w:p w14:paraId="320C8666" w14:textId="0A4415F6" w:rsidR="00B75A49" w:rsidRDefault="0057426F" w:rsidP="00B75A49">
      <w:pPr>
        <w:pStyle w:val="BodyText"/>
        <w:ind w:firstLine="0"/>
      </w:pPr>
      <w:r>
        <w:rPr>
          <w:lang w:val="en-US"/>
        </w:rPr>
        <w:tab/>
      </w:r>
      <w:r w:rsidR="00B75A49">
        <w:t>The underlying hypothesis that profitability is not necessarily compromised by responsible investing is empirically supported by this pattern.</w:t>
      </w:r>
    </w:p>
    <w:p w14:paraId="0B2FFDC2" w14:textId="77777777" w:rsidR="00605D67" w:rsidRDefault="00B75A49" w:rsidP="00B75A49">
      <w:pPr>
        <w:pStyle w:val="Heading2"/>
      </w:pPr>
      <w:r w:rsidRPr="00B75A49">
        <w:t>Governance vs Dividend Yield Trade-off</w:t>
      </w:r>
    </w:p>
    <w:p w14:paraId="4986B4A3" w14:textId="7A921523" w:rsidR="00605D67" w:rsidRPr="001C4A2E" w:rsidRDefault="00605D67" w:rsidP="0057426F">
      <w:pPr>
        <w:ind w:firstLine="288"/>
        <w:jc w:val="left"/>
        <w:rPr>
          <w:rFonts w:eastAsia="Times New Roman"/>
          <w:lang w:val="en-AE" w:eastAsia="en-AE"/>
        </w:rPr>
      </w:pPr>
      <w:r w:rsidRPr="001C4A2E">
        <w:rPr>
          <w:rFonts w:eastAsia="Times New Roman"/>
          <w:lang w:val="en-AE" w:eastAsia="en-AE"/>
        </w:rPr>
        <w:t>A governance-dividend comparison was used to further investigate the connection between shareholder returns and governance quality</w:t>
      </w:r>
      <w:r w:rsidR="001C4A2E" w:rsidRPr="001C4A2E">
        <w:t xml:space="preserve"> </w:t>
      </w:r>
      <w:r w:rsidR="001C4A2E" w:rsidRPr="001C4A2E">
        <w:rPr>
          <w:rFonts w:eastAsia="Times New Roman"/>
          <w:lang w:eastAsia="en-AE"/>
        </w:rPr>
        <w:t>[1,3</w:t>
      </w:r>
      <w:r w:rsidR="00DA78B4">
        <w:rPr>
          <w:rFonts w:eastAsia="Times New Roman"/>
          <w:lang w:eastAsia="en-AE"/>
        </w:rPr>
        <w:t>,</w:t>
      </w:r>
      <w:r w:rsidR="001C4A2E" w:rsidRPr="001C4A2E">
        <w:rPr>
          <w:rFonts w:eastAsia="Times New Roman"/>
          <w:lang w:eastAsia="en-AE"/>
        </w:rPr>
        <w:t>7,8].</w:t>
      </w:r>
    </w:p>
    <w:p w14:paraId="01E32008" w14:textId="77777777" w:rsidR="00605D67" w:rsidRDefault="00605D67" w:rsidP="00605D67">
      <w:pPr>
        <w:jc w:val="left"/>
        <w:rPr>
          <w:rFonts w:eastAsia="Times New Roman"/>
          <w:lang w:val="en-AE" w:eastAsia="en-AE"/>
        </w:rPr>
      </w:pPr>
    </w:p>
    <w:p w14:paraId="31FF9880" w14:textId="0B8997F3" w:rsidR="00605D67" w:rsidRDefault="00605D67" w:rsidP="00605D67">
      <w:pPr>
        <w:jc w:val="left"/>
        <w:rPr>
          <w:rFonts w:eastAsia="Times New Roman"/>
          <w:lang w:val="en-AE" w:eastAsia="en-AE"/>
        </w:rPr>
      </w:pPr>
      <w:r w:rsidRPr="00605D67">
        <w:rPr>
          <w:rFonts w:eastAsia="Times New Roman"/>
          <w:noProof/>
          <w:lang w:val="en-AE" w:eastAsia="en-AE"/>
        </w:rPr>
        <w:drawing>
          <wp:inline distT="0" distB="0" distL="0" distR="0" wp14:anchorId="356D0257" wp14:editId="46122742">
            <wp:extent cx="2920481" cy="1847060"/>
            <wp:effectExtent l="0" t="0" r="0" b="1270"/>
            <wp:docPr id="1630861755"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61755" name="Picture 2" descr="A char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1908" cy="1866936"/>
                    </a:xfrm>
                    <a:prstGeom prst="rect">
                      <a:avLst/>
                    </a:prstGeom>
                    <a:noFill/>
                    <a:ln>
                      <a:noFill/>
                    </a:ln>
                  </pic:spPr>
                </pic:pic>
              </a:graphicData>
            </a:graphic>
          </wp:inline>
        </w:drawing>
      </w:r>
    </w:p>
    <w:p w14:paraId="546441A5" w14:textId="63C21EDF" w:rsidR="00605D67" w:rsidRPr="00605D67" w:rsidRDefault="00605D67" w:rsidP="00605D67">
      <w:pPr>
        <w:jc w:val="both"/>
        <w:rPr>
          <w:rFonts w:eastAsia="Times New Roman"/>
          <w:sz w:val="18"/>
          <w:szCs w:val="18"/>
          <w:lang w:val="en-AE" w:eastAsia="en-AE"/>
        </w:rPr>
      </w:pPr>
      <w:r>
        <w:rPr>
          <w:rFonts w:eastAsia="Times New Roman"/>
          <w:sz w:val="18"/>
          <w:szCs w:val="18"/>
          <w:lang w:val="en-AE" w:eastAsia="en-AE"/>
        </w:rPr>
        <w:t xml:space="preserve">     </w:t>
      </w:r>
      <w:r w:rsidRPr="00605D67">
        <w:rPr>
          <w:rFonts w:eastAsia="Times New Roman"/>
          <w:sz w:val="18"/>
          <w:szCs w:val="18"/>
          <w:lang w:val="en-AE" w:eastAsia="en-AE"/>
        </w:rPr>
        <w:t>Fig.</w:t>
      </w:r>
      <w:r w:rsidR="00267807">
        <w:rPr>
          <w:rFonts w:eastAsia="Times New Roman"/>
          <w:sz w:val="18"/>
          <w:szCs w:val="18"/>
          <w:lang w:val="en-AE" w:eastAsia="en-AE"/>
        </w:rPr>
        <w:t xml:space="preserve"> </w:t>
      </w:r>
      <w:r w:rsidR="00D01E2B">
        <w:rPr>
          <w:rFonts w:eastAsia="Times New Roman"/>
          <w:sz w:val="18"/>
          <w:szCs w:val="18"/>
          <w:lang w:val="en-AE" w:eastAsia="en-AE"/>
        </w:rPr>
        <w:t>5</w:t>
      </w:r>
      <w:r w:rsidR="00267807">
        <w:rPr>
          <w:rFonts w:eastAsia="Times New Roman"/>
          <w:sz w:val="18"/>
          <w:szCs w:val="18"/>
          <w:lang w:val="en-AE" w:eastAsia="en-AE"/>
        </w:rPr>
        <w:t>.</w:t>
      </w:r>
      <w:r w:rsidR="009C73FB">
        <w:rPr>
          <w:rFonts w:eastAsia="Times New Roman"/>
          <w:sz w:val="18"/>
          <w:szCs w:val="18"/>
          <w:lang w:val="en-AE" w:eastAsia="en-AE"/>
        </w:rPr>
        <w:t xml:space="preserve"> </w:t>
      </w:r>
      <w:r w:rsidRPr="00605D67">
        <w:rPr>
          <w:rFonts w:eastAsia="Times New Roman"/>
          <w:sz w:val="18"/>
          <w:szCs w:val="18"/>
          <w:lang w:eastAsia="en-AE"/>
        </w:rPr>
        <w:t>Governance Score vs Dividend Yield Trade-off.</w:t>
      </w:r>
    </w:p>
    <w:p w14:paraId="576CAE97" w14:textId="77777777" w:rsidR="00605D67" w:rsidRDefault="00605D67" w:rsidP="00605D67">
      <w:pPr>
        <w:jc w:val="left"/>
        <w:rPr>
          <w:rFonts w:eastAsia="Times New Roman"/>
          <w:lang w:val="en-AE" w:eastAsia="en-AE"/>
        </w:rPr>
      </w:pPr>
    </w:p>
    <w:p w14:paraId="25E2FE74" w14:textId="60393AD7" w:rsidR="00917849" w:rsidRDefault="00605D67" w:rsidP="0057426F">
      <w:pPr>
        <w:ind w:firstLine="288"/>
        <w:jc w:val="left"/>
        <w:rPr>
          <w:rFonts w:eastAsia="Times New Roman"/>
          <w:lang w:val="en-AE" w:eastAsia="en-AE"/>
        </w:rPr>
      </w:pPr>
      <w:r w:rsidRPr="00605D67">
        <w:rPr>
          <w:rFonts w:eastAsia="Times New Roman"/>
          <w:lang w:val="en-AE" w:eastAsia="en-AE"/>
        </w:rPr>
        <w:t>The results</w:t>
      </w:r>
      <w:r w:rsidR="00267807">
        <w:rPr>
          <w:rFonts w:eastAsia="Times New Roman"/>
          <w:lang w:val="en-AE" w:eastAsia="en-AE"/>
        </w:rPr>
        <w:t xml:space="preserve"> from Fig</w:t>
      </w:r>
      <w:r w:rsidR="00DA78B4">
        <w:rPr>
          <w:rFonts w:eastAsia="Times New Roman"/>
          <w:lang w:val="en-AE" w:eastAsia="en-AE"/>
        </w:rPr>
        <w:t xml:space="preserve">. </w:t>
      </w:r>
      <w:r w:rsidR="00267807">
        <w:rPr>
          <w:rFonts w:eastAsia="Times New Roman"/>
          <w:lang w:val="en-AE" w:eastAsia="en-AE"/>
        </w:rPr>
        <w:t xml:space="preserve">5, </w:t>
      </w:r>
      <w:r w:rsidRPr="00605D67">
        <w:rPr>
          <w:rFonts w:eastAsia="Times New Roman"/>
          <w:lang w:val="en-AE" w:eastAsia="en-AE"/>
        </w:rPr>
        <w:t xml:space="preserve">show that companies with high governance scores (&gt;0.8) consistently generate dividend yields between </w:t>
      </w:r>
      <w:r w:rsidR="00A06F5A">
        <w:rPr>
          <w:rFonts w:eastAsia="Times New Roman"/>
          <w:lang w:val="en-AE" w:eastAsia="en-AE"/>
        </w:rPr>
        <w:t>1</w:t>
      </w:r>
      <w:r w:rsidRPr="00605D67">
        <w:rPr>
          <w:rFonts w:eastAsia="Times New Roman"/>
          <w:lang w:val="en-AE" w:eastAsia="en-AE"/>
        </w:rPr>
        <w:t xml:space="preserve"> and 3%, which is in line with long-term reinvestment plans. On the other hand, companies with lower governance scores show more volatility in their dividends, which suggests that their cash flow management is unstable.</w:t>
      </w:r>
      <w:r w:rsidR="009C73FB">
        <w:rPr>
          <w:rFonts w:eastAsia="Times New Roman"/>
          <w:lang w:val="en-AE" w:eastAsia="en-AE"/>
        </w:rPr>
        <w:t xml:space="preserve"> </w:t>
      </w:r>
      <w:r w:rsidRPr="00605D67">
        <w:rPr>
          <w:rFonts w:eastAsia="Times New Roman"/>
          <w:lang w:val="en-AE" w:eastAsia="en-AE"/>
        </w:rPr>
        <w:t>According to global ESG investment principles, the visualisation confirms that strong governance is frequently linked to capital stability and long-term investor confidence</w:t>
      </w:r>
      <w:r w:rsidR="001C4A2E" w:rsidRPr="001C4A2E">
        <w:rPr>
          <w:b/>
          <w:bCs/>
        </w:rPr>
        <w:t xml:space="preserve"> </w:t>
      </w:r>
      <w:r w:rsidR="001C4A2E" w:rsidRPr="001C4A2E">
        <w:rPr>
          <w:rFonts w:eastAsia="Times New Roman"/>
          <w:lang w:eastAsia="en-AE"/>
        </w:rPr>
        <w:t>[1,2,3,7,8].</w:t>
      </w:r>
    </w:p>
    <w:p w14:paraId="43376AD6" w14:textId="191453A4" w:rsidR="00917849" w:rsidRDefault="00917849" w:rsidP="00917849">
      <w:pPr>
        <w:pStyle w:val="Heading2"/>
        <w:rPr>
          <w:lang w:eastAsia="en-AE"/>
        </w:rPr>
      </w:pPr>
      <w:r w:rsidRPr="00917849">
        <w:rPr>
          <w:lang w:eastAsia="en-AE"/>
        </w:rPr>
        <w:t>Portfolio Allocation Analysis</w:t>
      </w:r>
    </w:p>
    <w:p w14:paraId="0676EEDE" w14:textId="2BB4F5AC" w:rsidR="00917849" w:rsidRDefault="00917849" w:rsidP="0057426F">
      <w:pPr>
        <w:ind w:firstLine="288"/>
        <w:jc w:val="both"/>
        <w:rPr>
          <w:lang w:eastAsia="en-AE"/>
        </w:rPr>
      </w:pPr>
      <w:r w:rsidRPr="00917849">
        <w:rPr>
          <w:lang w:eastAsia="en-AE"/>
        </w:rPr>
        <w:t>The portfolio recommendation engine was evaluated using both equal-weight and score-weighted allocation strategies across the top-performing firms</w:t>
      </w:r>
      <w:r w:rsidR="001C4A2E">
        <w:rPr>
          <w:lang w:eastAsia="en-AE"/>
        </w:rPr>
        <w:t xml:space="preserve"> [6].</w:t>
      </w:r>
    </w:p>
    <w:p w14:paraId="49D74C8B" w14:textId="63A05785" w:rsidR="00917849" w:rsidRDefault="00917849" w:rsidP="00917849">
      <w:pPr>
        <w:jc w:val="both"/>
        <w:rPr>
          <w:lang w:val="en-AE" w:eastAsia="en-AE"/>
        </w:rPr>
      </w:pPr>
      <w:r w:rsidRPr="00917849">
        <w:rPr>
          <w:noProof/>
          <w:lang w:val="en-AE" w:eastAsia="en-AE"/>
        </w:rPr>
        <w:drawing>
          <wp:inline distT="0" distB="0" distL="0" distR="0" wp14:anchorId="04B4DF89" wp14:editId="5E1F9A6A">
            <wp:extent cx="2717095" cy="2197359"/>
            <wp:effectExtent l="0" t="0" r="7620" b="0"/>
            <wp:docPr id="610955298" name="Picture 4"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55298" name="Picture 4" descr="A group of pie char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0232" cy="2240332"/>
                    </a:xfrm>
                    <a:prstGeom prst="rect">
                      <a:avLst/>
                    </a:prstGeom>
                    <a:noFill/>
                    <a:ln>
                      <a:noFill/>
                    </a:ln>
                  </pic:spPr>
                </pic:pic>
              </a:graphicData>
            </a:graphic>
          </wp:inline>
        </w:drawing>
      </w:r>
    </w:p>
    <w:p w14:paraId="086DA9DB" w14:textId="6F0D13EB" w:rsidR="00917849" w:rsidRDefault="00917849" w:rsidP="00FD5159">
      <w:pPr>
        <w:rPr>
          <w:sz w:val="18"/>
          <w:szCs w:val="18"/>
          <w:lang w:eastAsia="en-AE"/>
        </w:rPr>
      </w:pPr>
      <w:r w:rsidRPr="00917849">
        <w:rPr>
          <w:sz w:val="18"/>
          <w:szCs w:val="18"/>
          <w:lang w:val="en-AE" w:eastAsia="en-AE"/>
        </w:rPr>
        <w:t>Fig.</w:t>
      </w:r>
      <w:r w:rsidR="00267807">
        <w:rPr>
          <w:sz w:val="18"/>
          <w:szCs w:val="18"/>
          <w:lang w:val="en-AE" w:eastAsia="en-AE"/>
        </w:rPr>
        <w:t xml:space="preserve"> </w:t>
      </w:r>
      <w:r w:rsidR="00D01E2B">
        <w:rPr>
          <w:sz w:val="18"/>
          <w:szCs w:val="18"/>
          <w:lang w:val="en-AE" w:eastAsia="en-AE"/>
        </w:rPr>
        <w:t>6</w:t>
      </w:r>
      <w:r w:rsidRPr="00917849">
        <w:rPr>
          <w:sz w:val="18"/>
          <w:szCs w:val="18"/>
          <w:lang w:val="en-AE" w:eastAsia="en-AE"/>
        </w:rPr>
        <w:t>.</w:t>
      </w:r>
      <w:r w:rsidRPr="00917849">
        <w:rPr>
          <w:sz w:val="18"/>
          <w:szCs w:val="18"/>
        </w:rPr>
        <w:t xml:space="preserve"> </w:t>
      </w:r>
      <w:r w:rsidRPr="00917849">
        <w:rPr>
          <w:sz w:val="18"/>
          <w:szCs w:val="18"/>
          <w:lang w:eastAsia="en-AE"/>
        </w:rPr>
        <w:t>Portfolio Allocation Comparison (Equal vs Score-Weighted).</w:t>
      </w:r>
    </w:p>
    <w:p w14:paraId="277FDF08" w14:textId="77777777" w:rsidR="00D01E2B" w:rsidRDefault="00D01E2B" w:rsidP="00917849">
      <w:pPr>
        <w:jc w:val="both"/>
        <w:rPr>
          <w:sz w:val="18"/>
          <w:szCs w:val="18"/>
          <w:lang w:val="en-AE" w:eastAsia="en-AE"/>
        </w:rPr>
      </w:pPr>
    </w:p>
    <w:p w14:paraId="5436803C" w14:textId="7815F5F4" w:rsidR="00917849" w:rsidRPr="001C4A2E" w:rsidRDefault="00917849" w:rsidP="0057426F">
      <w:pPr>
        <w:ind w:firstLine="288"/>
        <w:jc w:val="both"/>
        <w:rPr>
          <w:lang w:val="en-AE" w:eastAsia="en-AE"/>
        </w:rPr>
      </w:pPr>
      <w:r w:rsidRPr="001C4A2E">
        <w:rPr>
          <w:lang w:val="en-AE" w:eastAsia="en-AE"/>
        </w:rPr>
        <w:t>Each chosen stock in the equal-weight portfolios was given a consistent 20% allocation, guaranteeing balanced exposure regardless of individual performance indicators. This strategy was consistently used for both 60–40 and 50–50 portfolio structures.</w:t>
      </w:r>
      <w:r w:rsidR="009C73FB">
        <w:rPr>
          <w:lang w:val="en-AE" w:eastAsia="en-AE"/>
        </w:rPr>
        <w:t xml:space="preserve"> </w:t>
      </w:r>
      <w:r w:rsidRPr="001C4A2E">
        <w:rPr>
          <w:lang w:val="en-AE" w:eastAsia="en-AE"/>
        </w:rPr>
        <w:t>The score-weighted portfolios, on the other hand, dynamically modified allocations according to each asset's Final Score. For instance,</w:t>
      </w:r>
      <w:r w:rsidR="00267807">
        <w:rPr>
          <w:lang w:val="en-AE" w:eastAsia="en-AE"/>
        </w:rPr>
        <w:t xml:space="preserve"> as shown in Fi</w:t>
      </w:r>
      <w:r w:rsidR="00DA78B4">
        <w:rPr>
          <w:lang w:val="en-AE" w:eastAsia="en-AE"/>
        </w:rPr>
        <w:t xml:space="preserve">g. </w:t>
      </w:r>
      <w:r w:rsidR="00267807">
        <w:rPr>
          <w:lang w:val="en-AE" w:eastAsia="en-AE"/>
        </w:rPr>
        <w:t xml:space="preserve">6, </w:t>
      </w:r>
      <w:r w:rsidRPr="001C4A2E">
        <w:rPr>
          <w:lang w:val="en-AE" w:eastAsia="en-AE"/>
        </w:rPr>
        <w:t>TSLA and MSFT were given larger allocations of 23.5% and 21.5%, respectively, in the 60–40 score-weighted portfolio, whereas CVX and RIO were given lower weights of 17.8% and 16.8%. The system's logical investment logic, rewarding high-performing assets while preserving diversification and avoiding overfitting to any one sector or metric, is validated by this proportional behaviour</w:t>
      </w:r>
      <w:r w:rsidR="00DA78B4">
        <w:rPr>
          <w:lang w:val="en-AE" w:eastAsia="en-AE"/>
        </w:rPr>
        <w:t xml:space="preserve"> </w:t>
      </w:r>
      <w:r w:rsidR="001C4A2E">
        <w:rPr>
          <w:lang w:val="en-AE" w:eastAsia="en-AE"/>
        </w:rPr>
        <w:t>[6,10]</w:t>
      </w:r>
      <w:r w:rsidR="00DA78B4">
        <w:rPr>
          <w:lang w:val="en-AE" w:eastAsia="en-AE"/>
        </w:rPr>
        <w:t>.</w:t>
      </w:r>
    </w:p>
    <w:p w14:paraId="09D8EA72" w14:textId="31620556" w:rsidR="00917849" w:rsidRDefault="007E789C" w:rsidP="00917849">
      <w:pPr>
        <w:pStyle w:val="Heading2"/>
        <w:rPr>
          <w:lang w:eastAsia="en-AE"/>
        </w:rPr>
      </w:pPr>
      <w:r w:rsidRPr="007E789C">
        <w:rPr>
          <w:lang w:eastAsia="en-AE"/>
        </w:rPr>
        <w:t>Agentic Chat Validation</w:t>
      </w:r>
    </w:p>
    <w:p w14:paraId="7392F5B1" w14:textId="0AFC7C8F" w:rsidR="007E789C" w:rsidRDefault="007E789C" w:rsidP="0057426F">
      <w:pPr>
        <w:ind w:firstLine="288"/>
        <w:jc w:val="left"/>
        <w:rPr>
          <w:rFonts w:eastAsia="Times New Roman"/>
          <w:lang w:val="en-AE" w:eastAsia="en-AE"/>
        </w:rPr>
      </w:pPr>
      <w:r w:rsidRPr="007E789C">
        <w:rPr>
          <w:rFonts w:eastAsia="Times New Roman"/>
          <w:lang w:val="en-AE" w:eastAsia="en-AE"/>
        </w:rPr>
        <w:t>Using natural-language queries</w:t>
      </w:r>
      <w:r w:rsidR="0057426F">
        <w:rPr>
          <w:rFonts w:eastAsia="Times New Roman"/>
          <w:lang w:val="en-AE" w:eastAsia="en-AE"/>
        </w:rPr>
        <w:t xml:space="preserve"> </w:t>
      </w:r>
      <w:r w:rsidRPr="007E789C">
        <w:rPr>
          <w:rFonts w:eastAsia="Times New Roman"/>
          <w:lang w:val="en-AE" w:eastAsia="en-AE"/>
        </w:rPr>
        <w:t>referencing the same dataset, the integrated chatbot driven by Ollama's TinyLlama model was evaluated for interpretability and agentic intelligence.</w:t>
      </w:r>
    </w:p>
    <w:p w14:paraId="3E553D67" w14:textId="77777777" w:rsidR="001E43EA" w:rsidRDefault="001E43EA" w:rsidP="007E789C">
      <w:pPr>
        <w:jc w:val="left"/>
        <w:rPr>
          <w:rFonts w:eastAsia="Times New Roman"/>
          <w:lang w:val="en-AE" w:eastAsia="en-AE"/>
        </w:rPr>
      </w:pPr>
    </w:p>
    <w:p w14:paraId="62050B6E" w14:textId="022ECEBA" w:rsidR="007E789C" w:rsidRPr="007E789C" w:rsidRDefault="007E789C" w:rsidP="007E789C">
      <w:pPr>
        <w:jc w:val="left"/>
        <w:rPr>
          <w:rFonts w:eastAsia="Times New Roman"/>
          <w:lang w:val="en-AE" w:eastAsia="en-AE"/>
        </w:rPr>
      </w:pPr>
      <w:r w:rsidRPr="007E789C">
        <w:rPr>
          <w:rFonts w:eastAsia="Times New Roman"/>
          <w:noProof/>
          <w:lang w:val="en-AE" w:eastAsia="en-AE"/>
        </w:rPr>
        <w:drawing>
          <wp:inline distT="0" distB="0" distL="0" distR="0" wp14:anchorId="58BD7841" wp14:editId="6E8B0041">
            <wp:extent cx="3089910" cy="1234440"/>
            <wp:effectExtent l="0" t="0" r="0" b="3810"/>
            <wp:docPr id="537063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3953" name="Picture 1" descr="A screenshot of a computer&#10;&#10;AI-generated content may be incorrect."/>
                    <pic:cNvPicPr/>
                  </pic:nvPicPr>
                  <pic:blipFill>
                    <a:blip r:embed="rId14"/>
                    <a:stretch>
                      <a:fillRect/>
                    </a:stretch>
                  </pic:blipFill>
                  <pic:spPr>
                    <a:xfrm>
                      <a:off x="0" y="0"/>
                      <a:ext cx="3089910" cy="1234440"/>
                    </a:xfrm>
                    <a:prstGeom prst="rect">
                      <a:avLst/>
                    </a:prstGeom>
                  </pic:spPr>
                </pic:pic>
              </a:graphicData>
            </a:graphic>
          </wp:inline>
        </w:drawing>
      </w:r>
    </w:p>
    <w:p w14:paraId="10666B13" w14:textId="09AA1A18" w:rsidR="007E789C" w:rsidRDefault="007E789C" w:rsidP="007E789C">
      <w:pPr>
        <w:rPr>
          <w:noProof/>
          <w:sz w:val="18"/>
          <w:szCs w:val="18"/>
        </w:rPr>
      </w:pPr>
      <w:r w:rsidRPr="007E789C">
        <w:rPr>
          <w:sz w:val="18"/>
          <w:szCs w:val="18"/>
          <w:lang w:eastAsia="en-AE"/>
        </w:rPr>
        <w:t>Fig</w:t>
      </w:r>
      <w:r w:rsidR="009C73FB">
        <w:rPr>
          <w:sz w:val="18"/>
          <w:szCs w:val="18"/>
          <w:lang w:eastAsia="en-AE"/>
        </w:rPr>
        <w:t>.</w:t>
      </w:r>
      <w:r w:rsidR="00267807">
        <w:rPr>
          <w:sz w:val="18"/>
          <w:szCs w:val="18"/>
          <w:lang w:eastAsia="en-AE"/>
        </w:rPr>
        <w:t xml:space="preserve"> </w:t>
      </w:r>
      <w:r w:rsidR="00D01E2B">
        <w:rPr>
          <w:sz w:val="18"/>
          <w:szCs w:val="18"/>
          <w:lang w:eastAsia="en-AE"/>
        </w:rPr>
        <w:t>7</w:t>
      </w:r>
      <w:r w:rsidR="00267807">
        <w:rPr>
          <w:sz w:val="18"/>
          <w:szCs w:val="18"/>
          <w:lang w:eastAsia="en-AE"/>
        </w:rPr>
        <w:t xml:space="preserve">. </w:t>
      </w:r>
      <w:r w:rsidRPr="007E789C">
        <w:rPr>
          <w:noProof/>
          <w:sz w:val="18"/>
          <w:szCs w:val="18"/>
        </w:rPr>
        <w:t>Example Chatbot Response</w:t>
      </w:r>
    </w:p>
    <w:p w14:paraId="4B542DBB" w14:textId="77777777" w:rsidR="007E789C" w:rsidRDefault="007E789C" w:rsidP="007E789C">
      <w:pPr>
        <w:jc w:val="left"/>
        <w:rPr>
          <w:sz w:val="18"/>
          <w:szCs w:val="18"/>
          <w:lang w:val="en-AE" w:eastAsia="en-AE"/>
        </w:rPr>
      </w:pPr>
    </w:p>
    <w:p w14:paraId="4396F975" w14:textId="4D383556" w:rsidR="007E789C" w:rsidRPr="001C4A2E" w:rsidRDefault="0057426F" w:rsidP="0057426F">
      <w:pPr>
        <w:ind w:firstLine="288"/>
        <w:jc w:val="left"/>
        <w:rPr>
          <w:lang w:val="en-AE" w:eastAsia="en-AE"/>
        </w:rPr>
      </w:pPr>
      <w:r>
        <w:rPr>
          <w:lang w:val="en-AE" w:eastAsia="en-AE"/>
        </w:rPr>
        <w:t>As shown in Fi</w:t>
      </w:r>
      <w:r w:rsidR="00DA78B4">
        <w:rPr>
          <w:lang w:val="en-AE" w:eastAsia="en-AE"/>
        </w:rPr>
        <w:t xml:space="preserve">g. </w:t>
      </w:r>
      <w:r>
        <w:rPr>
          <w:lang w:val="en-AE" w:eastAsia="en-AE"/>
        </w:rPr>
        <w:t>7, the responses are c</w:t>
      </w:r>
      <w:r w:rsidR="007E789C" w:rsidRPr="001C4A2E">
        <w:rPr>
          <w:lang w:val="en-AE" w:eastAsia="en-AE"/>
        </w:rPr>
        <w:t>oncise, context-based, and data-referential</w:t>
      </w:r>
      <w:r>
        <w:rPr>
          <w:lang w:val="en-AE" w:eastAsia="en-AE"/>
        </w:rPr>
        <w:t>. T</w:t>
      </w:r>
      <w:r w:rsidR="007E789C" w:rsidRPr="001C4A2E">
        <w:rPr>
          <w:lang w:val="en-AE" w:eastAsia="en-AE"/>
        </w:rPr>
        <w:t>he responses specifically used numerical fields like Governance Score, Final Score, and Debt to Equity Ratio to support their recommendations. The contextual grounding mechanism of the model effectively limited reasoning to validated dataset evidence, as evidenced by the absence of hallucinations or unsupported claims.</w:t>
      </w:r>
      <w:r w:rsidR="009C73FB">
        <w:rPr>
          <w:lang w:val="en-AE" w:eastAsia="en-AE"/>
        </w:rPr>
        <w:t xml:space="preserve"> </w:t>
      </w:r>
      <w:r w:rsidR="007E789C" w:rsidRPr="001C4A2E">
        <w:rPr>
          <w:lang w:val="en-AE" w:eastAsia="en-AE"/>
        </w:rPr>
        <w:t>This demonstrates that incorporating lightweight LLMs into data-bound, explainable financial decision-support systems is feasible.</w:t>
      </w:r>
    </w:p>
    <w:p w14:paraId="69A6FBFE" w14:textId="77777777" w:rsidR="007E789C" w:rsidRDefault="007E789C" w:rsidP="007E789C">
      <w:pPr>
        <w:jc w:val="left"/>
        <w:rPr>
          <w:sz w:val="18"/>
          <w:szCs w:val="18"/>
          <w:lang w:val="en-AE" w:eastAsia="en-AE"/>
        </w:rPr>
      </w:pPr>
    </w:p>
    <w:p w14:paraId="0FD80F9E" w14:textId="46B59C6F" w:rsidR="007E789C" w:rsidRDefault="007E789C" w:rsidP="007E789C">
      <w:pPr>
        <w:pStyle w:val="Heading2"/>
        <w:rPr>
          <w:lang w:eastAsia="en-AE"/>
        </w:rPr>
      </w:pPr>
      <w:r w:rsidRPr="007E789C">
        <w:rPr>
          <w:lang w:eastAsia="en-AE"/>
        </w:rPr>
        <w:lastRenderedPageBreak/>
        <w:t>Overall Insights and Interpretation</w:t>
      </w:r>
    </w:p>
    <w:p w14:paraId="23DA8CFD" w14:textId="7A3A81BC" w:rsidR="007E789C" w:rsidRDefault="007E789C" w:rsidP="0057426F">
      <w:pPr>
        <w:ind w:firstLine="288"/>
        <w:jc w:val="both"/>
        <w:rPr>
          <w:lang w:eastAsia="en-AE"/>
        </w:rPr>
      </w:pPr>
      <w:r w:rsidRPr="007E789C">
        <w:rPr>
          <w:lang w:eastAsia="en-AE"/>
        </w:rPr>
        <w:t>The combined results highlight several significant insights:</w:t>
      </w:r>
    </w:p>
    <w:p w14:paraId="743C0617" w14:textId="2EF13D84" w:rsidR="007E789C" w:rsidRDefault="007E789C" w:rsidP="007E789C">
      <w:pPr>
        <w:pStyle w:val="ListParagraph"/>
        <w:numPr>
          <w:ilvl w:val="0"/>
          <w:numId w:val="40"/>
        </w:numPr>
        <w:jc w:val="both"/>
        <w:rPr>
          <w:lang w:eastAsia="en-AE"/>
        </w:rPr>
      </w:pPr>
      <w:r w:rsidRPr="007E789C">
        <w:rPr>
          <w:lang w:eastAsia="en-AE"/>
        </w:rPr>
        <w:t>Businesses in the consumer goods and technology sectors regularly exhibit strong financial stability and good governance, which is consistent with trends in sustainable performance.</w:t>
      </w:r>
    </w:p>
    <w:p w14:paraId="441EB948" w14:textId="4F3F8ED6" w:rsidR="007E789C" w:rsidRDefault="007E789C" w:rsidP="007E789C">
      <w:pPr>
        <w:pStyle w:val="ListParagraph"/>
        <w:numPr>
          <w:ilvl w:val="0"/>
          <w:numId w:val="40"/>
        </w:numPr>
        <w:jc w:val="both"/>
        <w:rPr>
          <w:lang w:eastAsia="en-AE"/>
        </w:rPr>
      </w:pPr>
      <w:r w:rsidRPr="007E789C">
        <w:rPr>
          <w:lang w:eastAsia="en-AE"/>
        </w:rPr>
        <w:t>Although the manufacturing and energy sectors show significant ESG improvements, they are still limited by financial volatility.</w:t>
      </w:r>
    </w:p>
    <w:p w14:paraId="3B526B77" w14:textId="05E5D6AE" w:rsidR="007E789C" w:rsidRDefault="007E789C" w:rsidP="007E789C">
      <w:pPr>
        <w:pStyle w:val="ListParagraph"/>
        <w:numPr>
          <w:ilvl w:val="0"/>
          <w:numId w:val="40"/>
        </w:numPr>
        <w:jc w:val="both"/>
        <w:rPr>
          <w:lang w:eastAsia="en-AE"/>
        </w:rPr>
      </w:pPr>
      <w:r w:rsidRPr="007E789C">
        <w:rPr>
          <w:lang w:eastAsia="en-AE"/>
        </w:rPr>
        <w:t>While 60–40 financial bias improves short-term profitability metrics, balanced (50–50) weighting configurations support sustainability leadership.</w:t>
      </w:r>
    </w:p>
    <w:p w14:paraId="2481DFE4" w14:textId="4CCD2235" w:rsidR="00D8435C" w:rsidRDefault="007E789C" w:rsidP="007E789C">
      <w:pPr>
        <w:pStyle w:val="ListParagraph"/>
        <w:numPr>
          <w:ilvl w:val="0"/>
          <w:numId w:val="40"/>
        </w:numPr>
        <w:jc w:val="both"/>
        <w:rPr>
          <w:lang w:eastAsia="en-AE"/>
        </w:rPr>
      </w:pPr>
      <w:r w:rsidRPr="007E789C">
        <w:rPr>
          <w:lang w:eastAsia="en-AE"/>
        </w:rPr>
        <w:t>The agentic AI chatbot bridges the gap between human and machine collaboration in sustainable portfolio evaluation by offering interpretable, data-based insights.</w:t>
      </w:r>
    </w:p>
    <w:p w14:paraId="24CA66D5" w14:textId="77777777" w:rsidR="00373D44" w:rsidRDefault="00373D44" w:rsidP="00373D44">
      <w:pPr>
        <w:jc w:val="both"/>
        <w:rPr>
          <w:lang w:eastAsia="en-AE"/>
        </w:rPr>
      </w:pPr>
    </w:p>
    <w:p w14:paraId="756FE4F2" w14:textId="0D5F4F7A" w:rsidR="00373D44" w:rsidRPr="00D01E2B" w:rsidRDefault="00373D44" w:rsidP="0057426F">
      <w:pPr>
        <w:ind w:firstLine="360"/>
        <w:jc w:val="both"/>
        <w:rPr>
          <w:lang w:val="en-AE" w:eastAsia="en-AE"/>
        </w:rPr>
      </w:pPr>
      <w:r w:rsidRPr="00373D44">
        <w:rPr>
          <w:lang w:val="en-AE" w:eastAsia="en-AE"/>
        </w:rPr>
        <w:t>All of these results support the FINESSE framework's ability to independently assess, rate, and interpret financial health and corporate sustainability, offering a useful basis for green investment strategies.</w:t>
      </w:r>
    </w:p>
    <w:p w14:paraId="2576F636" w14:textId="77777777" w:rsidR="009303D9" w:rsidRDefault="00CE3189" w:rsidP="001E43EA">
      <w:pPr>
        <w:pStyle w:val="Heading1"/>
        <w:spacing w:before="0"/>
      </w:pPr>
      <w:r>
        <w:t>VALIDATION</w:t>
      </w:r>
    </w:p>
    <w:p w14:paraId="075352C4" w14:textId="6A48C893" w:rsidR="002E59A1" w:rsidRPr="0047004B" w:rsidRDefault="002835E1" w:rsidP="0057426F">
      <w:pPr>
        <w:ind w:firstLine="288"/>
        <w:jc w:val="left"/>
        <w:rPr>
          <w:rFonts w:eastAsia="Times New Roman"/>
          <w:lang w:val="en-AE" w:eastAsia="en-AE"/>
        </w:rPr>
      </w:pPr>
      <w:r w:rsidRPr="0047004B">
        <w:rPr>
          <w:rFonts w:eastAsia="Times New Roman"/>
          <w:lang w:val="en-AE" w:eastAsia="en-AE"/>
        </w:rPr>
        <w:t xml:space="preserve">This section verifies the internal scoring system, portfolio allocation engine, and dataset-grounded behaviour of the agentic AI chatbot </w:t>
      </w:r>
      <w:r w:rsidR="0047004B" w:rsidRPr="0047004B">
        <w:rPr>
          <w:rFonts w:eastAsia="Times New Roman"/>
          <w:lang w:val="en-AE" w:eastAsia="en-AE"/>
        </w:rPr>
        <w:t>to</w:t>
      </w:r>
      <w:r w:rsidRPr="0047004B">
        <w:rPr>
          <w:rFonts w:eastAsia="Times New Roman"/>
          <w:lang w:val="en-AE" w:eastAsia="en-AE"/>
        </w:rPr>
        <w:t xml:space="preserve"> guarantee the dependability, stability, and interpretability of the suggested Agentic AI for Sustainable Finance framework</w:t>
      </w:r>
      <w:r w:rsidR="0047004B" w:rsidRPr="0047004B">
        <w:t xml:space="preserve"> </w:t>
      </w:r>
      <w:r w:rsidR="0047004B" w:rsidRPr="0047004B">
        <w:rPr>
          <w:rFonts w:eastAsia="Times New Roman"/>
          <w:lang w:eastAsia="en-AE"/>
        </w:rPr>
        <w:t>[4,5,6,11].</w:t>
      </w:r>
      <w:r w:rsidRPr="0047004B">
        <w:rPr>
          <w:rFonts w:eastAsia="Times New Roman"/>
          <w:lang w:val="en-AE" w:eastAsia="en-AE"/>
        </w:rPr>
        <w:t> Validation aims to show that the system's independent reasoning is consistent with open, data-driven logic in addition to verifying numerical accuracy.</w:t>
      </w:r>
    </w:p>
    <w:p w14:paraId="5378DD65" w14:textId="42FE8F22" w:rsidR="00286FD4" w:rsidRDefault="00CE3189" w:rsidP="002835E1">
      <w:pPr>
        <w:pStyle w:val="Heading2"/>
      </w:pPr>
      <w:r>
        <w:t>Simulation Based Data-Set Construction</w:t>
      </w:r>
    </w:p>
    <w:p w14:paraId="4F66876A" w14:textId="7D8C0C74" w:rsidR="002835E1" w:rsidRPr="002835E1" w:rsidRDefault="002835E1" w:rsidP="0057426F">
      <w:pPr>
        <w:ind w:firstLine="288"/>
        <w:jc w:val="left"/>
        <w:rPr>
          <w:rFonts w:eastAsia="Times New Roman"/>
          <w:lang w:val="en-AE" w:eastAsia="en-AE"/>
        </w:rPr>
      </w:pPr>
      <w:r w:rsidRPr="002835E1">
        <w:rPr>
          <w:rFonts w:eastAsia="Times New Roman"/>
          <w:lang w:val="en-AE" w:eastAsia="en-AE"/>
        </w:rPr>
        <w:t>Two weighting configurations were used to validate the system's scoring mechanism: 60–40 (favouring financial success) and 50–50 (equal emphasis on financial and ESG measures)</w:t>
      </w:r>
      <w:r w:rsidR="0047004B">
        <w:rPr>
          <w:rFonts w:eastAsia="Times New Roman"/>
          <w:lang w:val="en-AE" w:eastAsia="en-AE"/>
        </w:rPr>
        <w:t xml:space="preserve"> [6].</w:t>
      </w:r>
      <w:r w:rsidR="009C73FB">
        <w:rPr>
          <w:rFonts w:eastAsia="Times New Roman"/>
          <w:lang w:val="en-AE" w:eastAsia="en-AE"/>
        </w:rPr>
        <w:t xml:space="preserve"> </w:t>
      </w:r>
      <w:r w:rsidRPr="002835E1">
        <w:rPr>
          <w:rFonts w:eastAsia="Times New Roman"/>
          <w:lang w:val="en-AE" w:eastAsia="en-AE"/>
        </w:rPr>
        <w:t xml:space="preserve">Both configurations were used on the same dataset, which included 19 publicly traded companies in the industrial, energy, and technology sectors, </w:t>
      </w:r>
      <w:r w:rsidR="0047004B" w:rsidRPr="002835E1">
        <w:rPr>
          <w:rFonts w:eastAsia="Times New Roman"/>
          <w:lang w:val="en-AE" w:eastAsia="en-AE"/>
        </w:rPr>
        <w:t>to</w:t>
      </w:r>
      <w:r w:rsidRPr="002835E1">
        <w:rPr>
          <w:rFonts w:eastAsia="Times New Roman"/>
          <w:lang w:val="en-AE" w:eastAsia="en-AE"/>
        </w:rPr>
        <w:t xml:space="preserve"> evaluate consistency</w:t>
      </w:r>
      <w:r w:rsidR="0047004B">
        <w:rPr>
          <w:rFonts w:eastAsia="Times New Roman"/>
          <w:lang w:val="en-AE" w:eastAsia="en-AE"/>
        </w:rPr>
        <w:t xml:space="preserve"> [9].</w:t>
      </w:r>
    </w:p>
    <w:p w14:paraId="26EA01D1" w14:textId="62DBF6E8" w:rsidR="002835E1" w:rsidRPr="002835E1" w:rsidRDefault="002835E1" w:rsidP="002835E1">
      <w:pPr>
        <w:jc w:val="left"/>
        <w:rPr>
          <w:lang w:val="en-AE"/>
        </w:rPr>
      </w:pPr>
      <w:r w:rsidRPr="002835E1">
        <w:rPr>
          <w:noProof/>
          <w:lang w:val="en-AE"/>
        </w:rPr>
        <w:drawing>
          <wp:inline distT="0" distB="0" distL="0" distR="0" wp14:anchorId="069F436B" wp14:editId="6B90E119">
            <wp:extent cx="3089910" cy="1854200"/>
            <wp:effectExtent l="0" t="0" r="0" b="0"/>
            <wp:docPr id="562661440"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1440" name="Picture 2" descr="A graph of a number of peopl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854200"/>
                    </a:xfrm>
                    <a:prstGeom prst="rect">
                      <a:avLst/>
                    </a:prstGeom>
                    <a:noFill/>
                    <a:ln>
                      <a:noFill/>
                    </a:ln>
                  </pic:spPr>
                </pic:pic>
              </a:graphicData>
            </a:graphic>
          </wp:inline>
        </w:drawing>
      </w:r>
    </w:p>
    <w:p w14:paraId="549A5E9C" w14:textId="53B66E9E" w:rsidR="002835E1" w:rsidRPr="00F93750" w:rsidRDefault="002835E1" w:rsidP="001865E9">
      <w:pPr>
        <w:rPr>
          <w:sz w:val="18"/>
          <w:szCs w:val="18"/>
        </w:rPr>
      </w:pPr>
      <w:r w:rsidRPr="00F93750">
        <w:rPr>
          <w:sz w:val="18"/>
          <w:szCs w:val="18"/>
        </w:rPr>
        <w:t>Figure.</w:t>
      </w:r>
      <w:r w:rsidR="00267807">
        <w:rPr>
          <w:sz w:val="18"/>
          <w:szCs w:val="18"/>
        </w:rPr>
        <w:t xml:space="preserve"> </w:t>
      </w:r>
      <w:r w:rsidR="0047004B" w:rsidRPr="00F93750">
        <w:rPr>
          <w:sz w:val="18"/>
          <w:szCs w:val="18"/>
        </w:rPr>
        <w:t>8. Score</w:t>
      </w:r>
      <w:r w:rsidR="001865E9" w:rsidRPr="00F93750">
        <w:rPr>
          <w:sz w:val="18"/>
          <w:szCs w:val="18"/>
        </w:rPr>
        <w:t xml:space="preserve"> stability of top companies under different weighting schemes</w:t>
      </w:r>
    </w:p>
    <w:p w14:paraId="1F8EB9AB" w14:textId="77777777" w:rsidR="0057426F" w:rsidRDefault="0057426F" w:rsidP="0057426F">
      <w:pPr>
        <w:jc w:val="lowKashida"/>
        <w:rPr>
          <w:i/>
          <w:iCs/>
          <w:noProof/>
          <w:lang w:val="en-AE"/>
        </w:rPr>
      </w:pPr>
    </w:p>
    <w:p w14:paraId="4593DF1F" w14:textId="576C2553" w:rsidR="001865E9" w:rsidRDefault="0057426F" w:rsidP="0057426F">
      <w:pPr>
        <w:jc w:val="lowKashida"/>
        <w:rPr>
          <w:noProof/>
          <w:lang w:val="en-AE"/>
        </w:rPr>
      </w:pPr>
      <w:r>
        <w:rPr>
          <w:noProof/>
          <w:lang w:val="en-AE"/>
        </w:rPr>
        <w:t xml:space="preserve">      </w:t>
      </w:r>
      <w:r w:rsidR="001865E9" w:rsidRPr="001865E9">
        <w:rPr>
          <w:noProof/>
          <w:lang w:val="en-AE"/>
        </w:rPr>
        <w:t>The stability of composite ranks between the two weighting schemes is shown in Fig</w:t>
      </w:r>
      <w:r w:rsidR="00D57950">
        <w:rPr>
          <w:noProof/>
          <w:lang w:val="en-AE"/>
        </w:rPr>
        <w:t xml:space="preserve">. </w:t>
      </w:r>
      <w:r w:rsidR="001865E9" w:rsidRPr="001865E9">
        <w:rPr>
          <w:noProof/>
          <w:lang w:val="en-AE"/>
        </w:rPr>
        <w:t>8.  Under both setups, top companies like TSLA, XOM, and MSFT consistently maintained high composite scores, with their normalised final scores deviating by less than 5%.</w:t>
      </w:r>
      <w:r w:rsidR="009C73FB">
        <w:rPr>
          <w:noProof/>
          <w:lang w:val="en-AE"/>
        </w:rPr>
        <w:t xml:space="preserve"> </w:t>
      </w:r>
      <w:r w:rsidR="001865E9" w:rsidRPr="001865E9">
        <w:rPr>
          <w:noProof/>
          <w:lang w:val="en-AE"/>
        </w:rPr>
        <w:t xml:space="preserve">This suggests that the scoring system is stable and not overly affected by slight </w:t>
      </w:r>
      <w:r w:rsidR="001865E9" w:rsidRPr="001865E9">
        <w:rPr>
          <w:noProof/>
          <w:lang w:val="en-AE"/>
        </w:rPr>
        <w:t>adjustments to the weighted priority, which is essential for preserving repeatability and fairness.</w:t>
      </w:r>
    </w:p>
    <w:p w14:paraId="4C87C858" w14:textId="745ECE3D" w:rsidR="002E59A1" w:rsidRPr="001865E9" w:rsidRDefault="001865E9" w:rsidP="0057426F">
      <w:pPr>
        <w:ind w:firstLine="288"/>
        <w:jc w:val="lowKashida"/>
        <w:rPr>
          <w:noProof/>
          <w:lang w:val="en-AE"/>
        </w:rPr>
      </w:pPr>
      <w:r w:rsidRPr="001865E9">
        <w:rPr>
          <w:noProof/>
          <w:lang w:val="en-AE"/>
        </w:rPr>
        <w:t>Sustainability and profitability may be combined without bias or arbitrary score changes, as demonstrated by this consistency, which also verifies the interpretability and stability of the weighted evaluation mechanism used inside FINESSE</w:t>
      </w:r>
      <w:r w:rsidR="0047004B">
        <w:rPr>
          <w:noProof/>
          <w:lang w:val="en-AE"/>
        </w:rPr>
        <w:t xml:space="preserve"> [1,2]</w:t>
      </w:r>
    </w:p>
    <w:p w14:paraId="76D9ECE4" w14:textId="0C4EE62C" w:rsidR="009303D9" w:rsidRDefault="001865E9" w:rsidP="00ED0149">
      <w:pPr>
        <w:pStyle w:val="Heading2"/>
      </w:pPr>
      <w:r w:rsidRPr="001865E9">
        <w:t>Portfolio Allocation Verification</w:t>
      </w:r>
    </w:p>
    <w:p w14:paraId="683C4AB6" w14:textId="0B6F2711" w:rsidR="001865E9" w:rsidRDefault="0047004B" w:rsidP="0057426F">
      <w:pPr>
        <w:ind w:firstLine="288"/>
        <w:jc w:val="lowKashida"/>
        <w:rPr>
          <w:rFonts w:eastAsia="Times New Roman"/>
          <w:lang w:eastAsia="en-AE"/>
        </w:rPr>
      </w:pPr>
      <w:r w:rsidRPr="0047004B">
        <w:rPr>
          <w:rFonts w:eastAsia="Times New Roman"/>
          <w:lang w:eastAsia="en-AE"/>
        </w:rPr>
        <w:t>Two allocation configurations, equal-weight and score-weight, were examined to verify that FINESSE's decision logic is coherent and that portfolio weights respond logically to variations in composite scores [6]. The same ranked dataset of 19 publicly traded companies was used in both tests, implemented through the Streamlit dashboard for reproducible visualization and interaction [10].</w:t>
      </w:r>
    </w:p>
    <w:p w14:paraId="7B9648E2" w14:textId="77777777" w:rsidR="0047004B" w:rsidRDefault="0047004B" w:rsidP="0047004B">
      <w:pPr>
        <w:jc w:val="lowKashida"/>
        <w:rPr>
          <w:rFonts w:eastAsia="Times New Roman"/>
        </w:rPr>
      </w:pPr>
    </w:p>
    <w:p w14:paraId="7EDAF437" w14:textId="2042E947" w:rsidR="001865E9" w:rsidRDefault="001865E9" w:rsidP="00F854C4">
      <w:pPr>
        <w:jc w:val="lowKashida"/>
        <w:rPr>
          <w:rFonts w:eastAsia="Times New Roman"/>
        </w:rPr>
      </w:pPr>
      <w:r w:rsidRPr="001865E9">
        <w:rPr>
          <w:rFonts w:eastAsia="Times New Roman"/>
          <w:noProof/>
        </w:rPr>
        <w:drawing>
          <wp:inline distT="0" distB="0" distL="0" distR="0" wp14:anchorId="41FC0290" wp14:editId="3AA1820D">
            <wp:extent cx="3089910" cy="1124585"/>
            <wp:effectExtent l="0" t="0" r="0" b="0"/>
            <wp:docPr id="197126887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68872" name="Picture 1" descr="A screenshot of a black screen&#10;&#10;AI-generated content may be incorrect."/>
                    <pic:cNvPicPr/>
                  </pic:nvPicPr>
                  <pic:blipFill>
                    <a:blip r:embed="rId16"/>
                    <a:stretch>
                      <a:fillRect/>
                    </a:stretch>
                  </pic:blipFill>
                  <pic:spPr>
                    <a:xfrm>
                      <a:off x="0" y="0"/>
                      <a:ext cx="3089910" cy="1124585"/>
                    </a:xfrm>
                    <a:prstGeom prst="rect">
                      <a:avLst/>
                    </a:prstGeom>
                  </pic:spPr>
                </pic:pic>
              </a:graphicData>
            </a:graphic>
          </wp:inline>
        </w:drawing>
      </w:r>
    </w:p>
    <w:p w14:paraId="61EFCCE9" w14:textId="18BE7EBD" w:rsidR="001865E9" w:rsidRPr="00FD5159" w:rsidRDefault="001865E9" w:rsidP="00FD5159">
      <w:pPr>
        <w:rPr>
          <w:rFonts w:eastAsia="Times New Roman"/>
          <w:sz w:val="18"/>
          <w:szCs w:val="18"/>
        </w:rPr>
      </w:pPr>
      <w:r w:rsidRPr="00FD5159">
        <w:rPr>
          <w:rFonts w:eastAsia="Times New Roman"/>
          <w:sz w:val="18"/>
          <w:szCs w:val="18"/>
        </w:rPr>
        <w:t>Fig.</w:t>
      </w:r>
      <w:r w:rsidR="00267807">
        <w:rPr>
          <w:rFonts w:eastAsia="Times New Roman"/>
          <w:sz w:val="18"/>
          <w:szCs w:val="18"/>
        </w:rPr>
        <w:t xml:space="preserve"> </w:t>
      </w:r>
      <w:r w:rsidRPr="00FD5159">
        <w:rPr>
          <w:rFonts w:eastAsia="Times New Roman"/>
          <w:sz w:val="18"/>
          <w:szCs w:val="18"/>
        </w:rPr>
        <w:t>9.</w:t>
      </w:r>
      <w:r w:rsidRPr="00FD5159">
        <w:rPr>
          <w:sz w:val="18"/>
          <w:szCs w:val="18"/>
        </w:rPr>
        <w:t xml:space="preserve"> </w:t>
      </w:r>
      <w:r w:rsidR="0047004B" w:rsidRPr="00FD5159">
        <w:rPr>
          <w:rFonts w:eastAsia="Times New Roman"/>
          <w:sz w:val="18"/>
          <w:szCs w:val="18"/>
        </w:rPr>
        <w:t>Top N</w:t>
      </w:r>
      <w:r w:rsidRPr="00FD5159">
        <w:rPr>
          <w:rFonts w:eastAsia="Times New Roman"/>
          <w:sz w:val="18"/>
          <w:szCs w:val="18"/>
        </w:rPr>
        <w:t xml:space="preserve"> portfolio allocation using score-weighted logic.</w:t>
      </w:r>
    </w:p>
    <w:p w14:paraId="434A98FC" w14:textId="161D6216" w:rsidR="00BE0364" w:rsidRDefault="0057426F" w:rsidP="0057426F">
      <w:pPr>
        <w:jc w:val="both"/>
        <w:rPr>
          <w:rFonts w:eastAsia="Times New Roman"/>
          <w:lang w:val="en-AE"/>
        </w:rPr>
      </w:pPr>
      <w:r>
        <w:rPr>
          <w:rFonts w:eastAsia="Times New Roman"/>
        </w:rPr>
        <w:br/>
        <w:t xml:space="preserve">      </w:t>
      </w:r>
      <w:r w:rsidR="00BE0364" w:rsidRPr="00BE0364">
        <w:rPr>
          <w:rFonts w:eastAsia="Times New Roman"/>
          <w:lang w:val="en-AE"/>
        </w:rPr>
        <w:t>The agent dynamically allocated portfolio proportions</w:t>
      </w:r>
      <w:r w:rsidR="00BE0364">
        <w:rPr>
          <w:rFonts w:eastAsia="Times New Roman"/>
          <w:lang w:val="en-AE"/>
        </w:rPr>
        <w:t xml:space="preserve"> as shown in Fig</w:t>
      </w:r>
      <w:r w:rsidR="00D57950">
        <w:rPr>
          <w:rFonts w:eastAsia="Times New Roman"/>
          <w:lang w:val="en-AE"/>
        </w:rPr>
        <w:t xml:space="preserve">. </w:t>
      </w:r>
      <w:r w:rsidR="00BE0364">
        <w:rPr>
          <w:rFonts w:eastAsia="Times New Roman"/>
          <w:lang w:val="en-AE"/>
        </w:rPr>
        <w:t xml:space="preserve">9, </w:t>
      </w:r>
      <w:r w:rsidR="00BE0364" w:rsidRPr="00BE0364">
        <w:rPr>
          <w:rFonts w:eastAsia="Times New Roman"/>
          <w:lang w:val="en-AE"/>
        </w:rPr>
        <w:t>in accordance with each firm's composite Final Score under the score-weighted arrangement. Stronger sustainability-finance integration led to increased capital allocations for companies like TSLA, MSFT, and AAPL, which reflected their superior performance in both the financial and ESG domains</w:t>
      </w:r>
      <w:r w:rsidR="0047004B">
        <w:rPr>
          <w:rFonts w:eastAsia="Times New Roman"/>
          <w:lang w:val="en-AE"/>
        </w:rPr>
        <w:t xml:space="preserve"> [6].</w:t>
      </w:r>
    </w:p>
    <w:p w14:paraId="4A97F34E" w14:textId="77777777" w:rsidR="00BE1771" w:rsidRDefault="00BE1771" w:rsidP="0047004B">
      <w:pPr>
        <w:jc w:val="left"/>
        <w:rPr>
          <w:rFonts w:eastAsia="Times New Roman"/>
          <w:lang w:val="en-AE"/>
        </w:rPr>
      </w:pPr>
    </w:p>
    <w:p w14:paraId="4EC15235" w14:textId="262032D6" w:rsidR="00BE0364" w:rsidRDefault="00BE0364" w:rsidP="00BE0364">
      <w:pPr>
        <w:jc w:val="left"/>
        <w:rPr>
          <w:rFonts w:eastAsia="Times New Roman"/>
          <w:lang w:val="en-AE"/>
        </w:rPr>
      </w:pPr>
      <w:r w:rsidRPr="00BE0364">
        <w:rPr>
          <w:rFonts w:eastAsia="Times New Roman"/>
          <w:noProof/>
          <w:lang w:val="en-AE"/>
        </w:rPr>
        <w:drawing>
          <wp:inline distT="0" distB="0" distL="0" distR="0" wp14:anchorId="3C4B0EFD" wp14:editId="33F82635">
            <wp:extent cx="3089910" cy="1121410"/>
            <wp:effectExtent l="0" t="0" r="0" b="2540"/>
            <wp:docPr id="16638172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7236" name="Picture 1" descr="A screenshot of a computer screen&#10;&#10;AI-generated content may be incorrect."/>
                    <pic:cNvPicPr/>
                  </pic:nvPicPr>
                  <pic:blipFill>
                    <a:blip r:embed="rId17"/>
                    <a:stretch>
                      <a:fillRect/>
                    </a:stretch>
                  </pic:blipFill>
                  <pic:spPr>
                    <a:xfrm>
                      <a:off x="0" y="0"/>
                      <a:ext cx="3089910" cy="1121410"/>
                    </a:xfrm>
                    <a:prstGeom prst="rect">
                      <a:avLst/>
                    </a:prstGeom>
                  </pic:spPr>
                </pic:pic>
              </a:graphicData>
            </a:graphic>
          </wp:inline>
        </w:drawing>
      </w:r>
    </w:p>
    <w:p w14:paraId="5F59F0CB" w14:textId="1FC495E0" w:rsidR="00BE0364" w:rsidRPr="00BE1771" w:rsidRDefault="00BE0364" w:rsidP="00BE0364">
      <w:pPr>
        <w:jc w:val="left"/>
        <w:rPr>
          <w:rFonts w:eastAsia="Times New Roman"/>
          <w:sz w:val="18"/>
          <w:szCs w:val="18"/>
          <w:lang w:val="en-AE"/>
        </w:rPr>
      </w:pPr>
      <w:r w:rsidRPr="00BE1771">
        <w:rPr>
          <w:rFonts w:eastAsia="Times New Roman"/>
          <w:sz w:val="18"/>
          <w:szCs w:val="18"/>
          <w:lang w:val="en-AE"/>
        </w:rPr>
        <w:t>Fig.</w:t>
      </w:r>
      <w:r w:rsidR="00267807">
        <w:rPr>
          <w:rFonts w:eastAsia="Times New Roman"/>
          <w:sz w:val="18"/>
          <w:szCs w:val="18"/>
          <w:lang w:val="en-AE"/>
        </w:rPr>
        <w:t xml:space="preserve"> </w:t>
      </w:r>
      <w:r w:rsidRPr="00BE1771">
        <w:rPr>
          <w:rFonts w:eastAsia="Times New Roman"/>
          <w:sz w:val="18"/>
          <w:szCs w:val="18"/>
          <w:lang w:val="en-AE"/>
        </w:rPr>
        <w:t xml:space="preserve">10. </w:t>
      </w:r>
      <w:r w:rsidRPr="00BE1771">
        <w:rPr>
          <w:rFonts w:eastAsia="Times New Roman"/>
          <w:sz w:val="18"/>
          <w:szCs w:val="18"/>
        </w:rPr>
        <w:t>Top-N portfolio allocation using equal weights.</w:t>
      </w:r>
    </w:p>
    <w:p w14:paraId="3A094B9D" w14:textId="77777777" w:rsidR="00BE0364" w:rsidRPr="00BE0364" w:rsidRDefault="00BE0364" w:rsidP="00BE0364">
      <w:pPr>
        <w:jc w:val="left"/>
        <w:rPr>
          <w:rFonts w:eastAsia="Times New Roman"/>
          <w:lang w:val="en-AE"/>
        </w:rPr>
      </w:pPr>
    </w:p>
    <w:p w14:paraId="60578B8E" w14:textId="49002A9E" w:rsidR="002E59A1" w:rsidRPr="00BE0364" w:rsidRDefault="0057426F" w:rsidP="00BE0364">
      <w:pPr>
        <w:pStyle w:val="BodyText"/>
        <w:ind w:firstLine="0"/>
        <w:jc w:val="lowKashida"/>
        <w:rPr>
          <w:lang w:val="en-AE"/>
        </w:rPr>
      </w:pPr>
      <w:r>
        <w:rPr>
          <w:lang w:val="en-AE"/>
        </w:rPr>
        <w:tab/>
      </w:r>
      <w:r w:rsidR="00BE0364" w:rsidRPr="00BE0364">
        <w:rPr>
          <w:lang w:val="en-AE"/>
        </w:rPr>
        <w:t>As an illustration of a neutral investing approach where financial and ESG factors are consistently balanced across all firms, the equal-weight configuration,</w:t>
      </w:r>
      <w:r w:rsidR="009C73FB">
        <w:rPr>
          <w:lang w:val="en-AE"/>
        </w:rPr>
        <w:t xml:space="preserve"> as shown in Fig</w:t>
      </w:r>
      <w:r w:rsidR="00D57950">
        <w:rPr>
          <w:lang w:val="en-AE"/>
        </w:rPr>
        <w:t xml:space="preserve">. </w:t>
      </w:r>
      <w:r w:rsidR="009C73FB">
        <w:rPr>
          <w:lang w:val="en-AE"/>
        </w:rPr>
        <w:t xml:space="preserve">10, </w:t>
      </w:r>
      <w:r w:rsidR="00BE0364" w:rsidRPr="00BE0364">
        <w:rPr>
          <w:lang w:val="en-AE"/>
        </w:rPr>
        <w:t xml:space="preserve"> on the other hand, gave each top company an identical allocation share of 20%. This setup acted as the control baseline, confirming that the algorithm accurately and impartially detects and incorporates the top-ranked businesses.</w:t>
      </w:r>
    </w:p>
    <w:p w14:paraId="396278E3" w14:textId="0C9442E6" w:rsidR="009303D9" w:rsidRDefault="00BE0364" w:rsidP="00ED0149">
      <w:pPr>
        <w:pStyle w:val="Heading2"/>
      </w:pPr>
      <w:r w:rsidRPr="00BE0364">
        <w:t>Agentic Reasoning and Explainability Validation</w:t>
      </w:r>
    </w:p>
    <w:p w14:paraId="12935E39" w14:textId="12E32DCB" w:rsidR="00BE0364" w:rsidRPr="0047004B" w:rsidRDefault="00BE0364" w:rsidP="0057426F">
      <w:pPr>
        <w:ind w:firstLine="288"/>
        <w:jc w:val="left"/>
        <w:rPr>
          <w:rFonts w:eastAsia="Times New Roman"/>
          <w:lang w:val="en-AE" w:eastAsia="en-AE"/>
        </w:rPr>
      </w:pPr>
      <w:r w:rsidRPr="0047004B">
        <w:rPr>
          <w:rFonts w:eastAsia="Times New Roman"/>
          <w:lang w:val="en-AE" w:eastAsia="en-AE"/>
        </w:rPr>
        <w:t>To make sure the responses make sense and are effectively dataset-grounded, the embedded Agentic AI chatbot, powered by the local Ollama-based TinyLlama model, was put through a rigorous testing and validation process using 15 natural language queries</w:t>
      </w:r>
      <w:r w:rsidR="0047004B" w:rsidRPr="0047004B">
        <w:t xml:space="preserve"> </w:t>
      </w:r>
      <w:r w:rsidR="0047004B" w:rsidRPr="0047004B">
        <w:rPr>
          <w:rFonts w:eastAsia="Times New Roman"/>
          <w:lang w:eastAsia="en-AE"/>
        </w:rPr>
        <w:t>[11].</w:t>
      </w:r>
    </w:p>
    <w:p w14:paraId="488554A1" w14:textId="3B0CDF8A" w:rsidR="00BC697C" w:rsidRPr="00BE0364" w:rsidRDefault="00BC697C" w:rsidP="00BE0364">
      <w:pPr>
        <w:jc w:val="left"/>
        <w:rPr>
          <w:rFonts w:eastAsia="Times New Roman"/>
          <w:lang w:val="en-AE" w:eastAsia="en-AE"/>
        </w:rPr>
      </w:pPr>
      <w:r w:rsidRPr="00BC697C">
        <w:rPr>
          <w:rFonts w:eastAsia="Times New Roman"/>
          <w:lang w:val="en-AE" w:eastAsia="en-AE"/>
        </w:rPr>
        <w:t>These included both quantitative and qualitative prompts, such as:</w:t>
      </w:r>
    </w:p>
    <w:p w14:paraId="3AB32C39" w14:textId="17FF63AC" w:rsidR="002E04B6" w:rsidRDefault="002E04B6" w:rsidP="00BE0364">
      <w:pPr>
        <w:jc w:val="left"/>
        <w:rPr>
          <w:rFonts w:eastAsia="Times New Roman"/>
        </w:rPr>
      </w:pPr>
    </w:p>
    <w:p w14:paraId="06B44F64" w14:textId="0FB25859" w:rsidR="002E04B6" w:rsidRDefault="00BC697C" w:rsidP="002E04B6">
      <w:pPr>
        <w:pStyle w:val="ListParagraph"/>
        <w:numPr>
          <w:ilvl w:val="0"/>
          <w:numId w:val="33"/>
        </w:numPr>
        <w:jc w:val="left"/>
        <w:rPr>
          <w:rFonts w:eastAsia="Times New Roman"/>
        </w:rPr>
      </w:pPr>
      <w:r w:rsidRPr="00BC697C">
        <w:rPr>
          <w:rFonts w:eastAsia="Times New Roman"/>
        </w:rPr>
        <w:lastRenderedPageBreak/>
        <w:t>Which companies balance profitability with strong ESG performance?</w:t>
      </w:r>
    </w:p>
    <w:p w14:paraId="4E566A25" w14:textId="736F4C00" w:rsidR="002E04B6" w:rsidRDefault="00BC697C" w:rsidP="002E04B6">
      <w:pPr>
        <w:pStyle w:val="ListParagraph"/>
        <w:numPr>
          <w:ilvl w:val="0"/>
          <w:numId w:val="33"/>
        </w:numPr>
        <w:jc w:val="left"/>
        <w:rPr>
          <w:rFonts w:eastAsia="Times New Roman"/>
        </w:rPr>
      </w:pPr>
      <w:r>
        <w:rPr>
          <w:rFonts w:eastAsia="Times New Roman"/>
        </w:rPr>
        <w:t>If I</w:t>
      </w:r>
      <w:r w:rsidRPr="00BC697C">
        <w:rPr>
          <w:rFonts w:eastAsia="Times New Roman"/>
        </w:rPr>
        <w:t xml:space="preserve"> care more about governance than environment, who should I invest in?</w:t>
      </w:r>
    </w:p>
    <w:p w14:paraId="080EDC8F" w14:textId="53DB12C6" w:rsidR="0092709D" w:rsidRDefault="00BC697C" w:rsidP="001F5787">
      <w:pPr>
        <w:pStyle w:val="ListParagraph"/>
        <w:numPr>
          <w:ilvl w:val="0"/>
          <w:numId w:val="33"/>
        </w:numPr>
        <w:jc w:val="left"/>
        <w:rPr>
          <w:rFonts w:eastAsia="Times New Roman"/>
        </w:rPr>
      </w:pPr>
      <w:r w:rsidRPr="00BC697C">
        <w:rPr>
          <w:rFonts w:eastAsia="Times New Roman"/>
        </w:rPr>
        <w:t>Explain why MSFT ranks highly.</w:t>
      </w:r>
    </w:p>
    <w:p w14:paraId="49A5F5BF" w14:textId="77777777" w:rsidR="00BC697C" w:rsidRPr="00BC697C" w:rsidRDefault="00BC697C" w:rsidP="00BC697C">
      <w:pPr>
        <w:ind w:left="360"/>
        <w:jc w:val="left"/>
        <w:rPr>
          <w:rFonts w:eastAsia="Times New Roman"/>
        </w:rPr>
      </w:pPr>
    </w:p>
    <w:p w14:paraId="196AD62C" w14:textId="77777777" w:rsidR="00BC697C" w:rsidRDefault="00BC697C" w:rsidP="0057426F">
      <w:pPr>
        <w:ind w:firstLine="360"/>
        <w:jc w:val="lowKashida"/>
        <w:rPr>
          <w:rFonts w:asciiTheme="majorBidi" w:eastAsia="Times New Roman" w:hAnsiTheme="majorBidi" w:cstheme="majorBidi"/>
          <w:lang w:val="en-AE"/>
        </w:rPr>
      </w:pPr>
      <w:r w:rsidRPr="00BC697C">
        <w:rPr>
          <w:rFonts w:asciiTheme="majorBidi" w:eastAsia="Times New Roman" w:hAnsiTheme="majorBidi" w:cstheme="majorBidi"/>
          <w:lang w:val="en-AE"/>
        </w:rPr>
        <w:t>Each response was checked for data grounding; without producing unsupported information, the chatbot regularly referred to numerical fields (e.g., Governance_Score=0.88, Debt_to_Equity_Ratio=0.45) and rankings found in the dataset.</w:t>
      </w:r>
    </w:p>
    <w:p w14:paraId="57948E6C" w14:textId="77777777" w:rsidR="00BC697C" w:rsidRDefault="00BC697C" w:rsidP="00BC697C">
      <w:pPr>
        <w:jc w:val="lowKashida"/>
        <w:rPr>
          <w:rFonts w:asciiTheme="majorBidi" w:eastAsia="Times New Roman" w:hAnsiTheme="majorBidi" w:cstheme="majorBidi"/>
          <w:lang w:val="en-AE"/>
        </w:rPr>
      </w:pPr>
    </w:p>
    <w:p w14:paraId="28821585" w14:textId="073F2F5F" w:rsidR="00BC697C" w:rsidRPr="002E59A1" w:rsidRDefault="00BC697C" w:rsidP="002E59A1">
      <w:pPr>
        <w:jc w:val="both"/>
        <w:rPr>
          <w:rFonts w:asciiTheme="majorBidi" w:eastAsia="Times New Roman" w:hAnsiTheme="majorBidi" w:cstheme="majorBidi"/>
          <w:sz w:val="18"/>
          <w:szCs w:val="18"/>
          <w:lang w:val="en-AE"/>
        </w:rPr>
      </w:pPr>
      <w:r w:rsidRPr="002E59A1">
        <w:rPr>
          <w:rFonts w:asciiTheme="majorBidi" w:eastAsia="Times New Roman" w:hAnsiTheme="majorBidi" w:cstheme="majorBidi"/>
          <w:sz w:val="18"/>
          <w:szCs w:val="18"/>
          <w:lang w:val="en-AE"/>
        </w:rPr>
        <w:t>T</w:t>
      </w:r>
      <w:r w:rsidR="002E59A1" w:rsidRPr="002E59A1">
        <w:rPr>
          <w:rFonts w:asciiTheme="majorBidi" w:eastAsia="Times New Roman" w:hAnsiTheme="majorBidi" w:cstheme="majorBidi"/>
          <w:sz w:val="18"/>
          <w:szCs w:val="18"/>
          <w:lang w:val="en-AE"/>
        </w:rPr>
        <w:t>ABLE.1.</w:t>
      </w:r>
      <w:r w:rsidR="002E59A1">
        <w:rPr>
          <w:rFonts w:asciiTheme="majorBidi" w:eastAsia="Times New Roman" w:hAnsiTheme="majorBidi" w:cstheme="majorBidi"/>
          <w:sz w:val="18"/>
          <w:szCs w:val="18"/>
          <w:lang w:val="en-AE"/>
        </w:rPr>
        <w:t xml:space="preserve"> </w:t>
      </w:r>
      <w:r w:rsidR="002E59A1" w:rsidRPr="002E59A1">
        <w:rPr>
          <w:rFonts w:asciiTheme="majorBidi" w:eastAsia="Times New Roman" w:hAnsiTheme="majorBidi" w:cstheme="majorBidi"/>
          <w:sz w:val="18"/>
          <w:szCs w:val="18"/>
          <w:lang w:val="en-AE"/>
        </w:rPr>
        <w:t>VALIDATION OF DATA-SET GROUNDED AGENTIC RESPONSES</w:t>
      </w:r>
    </w:p>
    <w:tbl>
      <w:tblPr>
        <w:tblStyle w:val="TableGrid"/>
        <w:tblpPr w:leftFromText="180" w:rightFromText="180" w:vertAnchor="text" w:horzAnchor="page" w:tblpX="797" w:tblpY="129"/>
        <w:tblW w:w="5125" w:type="dxa"/>
        <w:tblLook w:val="04A0" w:firstRow="1" w:lastRow="0" w:firstColumn="1" w:lastColumn="0" w:noHBand="0" w:noVBand="1"/>
      </w:tblPr>
      <w:tblGrid>
        <w:gridCol w:w="1445"/>
        <w:gridCol w:w="2554"/>
        <w:gridCol w:w="1126"/>
      </w:tblGrid>
      <w:tr w:rsidR="00BC697C" w14:paraId="4366267B" w14:textId="77777777" w:rsidTr="00831090">
        <w:trPr>
          <w:trHeight w:val="465"/>
        </w:trPr>
        <w:tc>
          <w:tcPr>
            <w:tcW w:w="1471" w:type="dxa"/>
          </w:tcPr>
          <w:p w14:paraId="7F35DEA0" w14:textId="77777777" w:rsidR="00BC697C" w:rsidRPr="008B360E" w:rsidRDefault="00BC697C" w:rsidP="00BC697C">
            <w:pPr>
              <w:rPr>
                <w:rFonts w:eastAsia="Times New Roman"/>
                <w:b/>
                <w:bCs/>
              </w:rPr>
            </w:pPr>
            <w:r>
              <w:rPr>
                <w:rFonts w:eastAsia="Times New Roman"/>
                <w:b/>
                <w:bCs/>
              </w:rPr>
              <w:t>Query</w:t>
            </w:r>
          </w:p>
        </w:tc>
        <w:tc>
          <w:tcPr>
            <w:tcW w:w="2623" w:type="dxa"/>
          </w:tcPr>
          <w:p w14:paraId="50AAA07A" w14:textId="77777777" w:rsidR="00BC697C" w:rsidRPr="008B360E" w:rsidRDefault="00BC697C" w:rsidP="00BC697C">
            <w:pPr>
              <w:rPr>
                <w:rFonts w:eastAsia="Times New Roman"/>
                <w:b/>
                <w:bCs/>
              </w:rPr>
            </w:pPr>
            <w:r>
              <w:rPr>
                <w:rFonts w:eastAsia="Times New Roman"/>
                <w:b/>
                <w:bCs/>
              </w:rPr>
              <w:t>Agentic AI Response Summary</w:t>
            </w:r>
          </w:p>
        </w:tc>
        <w:tc>
          <w:tcPr>
            <w:tcW w:w="1031" w:type="dxa"/>
          </w:tcPr>
          <w:p w14:paraId="3CDB4801" w14:textId="4FC622A8" w:rsidR="00BC697C" w:rsidRDefault="00BC697C" w:rsidP="00BC697C">
            <w:pPr>
              <w:rPr>
                <w:rFonts w:eastAsia="Times New Roman"/>
                <w:b/>
                <w:bCs/>
              </w:rPr>
            </w:pPr>
            <w:r>
              <w:rPr>
                <w:rFonts w:eastAsia="Times New Roman"/>
                <w:b/>
                <w:bCs/>
              </w:rPr>
              <w:t>Outcome</w:t>
            </w:r>
          </w:p>
        </w:tc>
      </w:tr>
      <w:tr w:rsidR="00BC697C" w14:paraId="28F4B3AA" w14:textId="77777777" w:rsidTr="00831090">
        <w:trPr>
          <w:trHeight w:val="1130"/>
        </w:trPr>
        <w:tc>
          <w:tcPr>
            <w:tcW w:w="1471" w:type="dxa"/>
          </w:tcPr>
          <w:p w14:paraId="40DF078A" w14:textId="77777777" w:rsidR="00BC697C" w:rsidRPr="00BC697C" w:rsidRDefault="00BC697C" w:rsidP="00BC697C">
            <w:pPr>
              <w:jc w:val="both"/>
              <w:rPr>
                <w:rFonts w:eastAsia="Times New Roman"/>
                <w:sz w:val="18"/>
                <w:szCs w:val="18"/>
              </w:rPr>
            </w:pPr>
            <w:r w:rsidRPr="00BC697C">
              <w:rPr>
                <w:rFonts w:eastAsia="Times New Roman"/>
                <w:sz w:val="18"/>
                <w:szCs w:val="18"/>
              </w:rPr>
              <w:t>Which companies balance profitability with ESG responsibility?</w:t>
            </w:r>
          </w:p>
        </w:tc>
        <w:tc>
          <w:tcPr>
            <w:tcW w:w="2623" w:type="dxa"/>
          </w:tcPr>
          <w:p w14:paraId="4730FE37" w14:textId="7A9A6F62" w:rsidR="00BC697C" w:rsidRPr="00BC697C" w:rsidRDefault="00BC697C" w:rsidP="00BC697C">
            <w:pPr>
              <w:jc w:val="both"/>
              <w:rPr>
                <w:rFonts w:eastAsia="Times New Roman"/>
                <w:sz w:val="18"/>
                <w:szCs w:val="18"/>
              </w:rPr>
            </w:pPr>
            <w:r w:rsidRPr="00BC697C">
              <w:rPr>
                <w:rFonts w:eastAsia="Times New Roman"/>
                <w:sz w:val="18"/>
                <w:szCs w:val="18"/>
              </w:rPr>
              <w:t>Suggested TSLA, MSFT, XOM, citing strong Governance_Score (≥0.85) and low Debt_to_Equity (≤0.5).</w:t>
            </w:r>
          </w:p>
        </w:tc>
        <w:tc>
          <w:tcPr>
            <w:tcW w:w="1031" w:type="dxa"/>
          </w:tcPr>
          <w:p w14:paraId="3D956FF4" w14:textId="1AEF04B4" w:rsidR="00BC697C" w:rsidRPr="00BC697C" w:rsidRDefault="00BC697C" w:rsidP="00BC697C">
            <w:pPr>
              <w:jc w:val="both"/>
              <w:rPr>
                <w:rFonts w:eastAsia="Times New Roman"/>
                <w:sz w:val="18"/>
                <w:szCs w:val="18"/>
              </w:rPr>
            </w:pPr>
            <w:r w:rsidRPr="00BC697C">
              <w:rPr>
                <w:rFonts w:eastAsia="Times New Roman"/>
                <w:sz w:val="18"/>
                <w:szCs w:val="18"/>
              </w:rPr>
              <w:t>Consistent with dataset values</w:t>
            </w:r>
          </w:p>
        </w:tc>
      </w:tr>
      <w:tr w:rsidR="00BC697C" w14:paraId="18F147C8" w14:textId="77777777" w:rsidTr="00831090">
        <w:trPr>
          <w:trHeight w:val="465"/>
        </w:trPr>
        <w:tc>
          <w:tcPr>
            <w:tcW w:w="1471" w:type="dxa"/>
          </w:tcPr>
          <w:p w14:paraId="4E9D5A4C" w14:textId="77777777" w:rsidR="00BC697C" w:rsidRPr="00BC697C" w:rsidRDefault="00BC697C" w:rsidP="00BC697C">
            <w:pPr>
              <w:jc w:val="both"/>
              <w:rPr>
                <w:rFonts w:eastAsia="Times New Roman"/>
                <w:sz w:val="18"/>
                <w:szCs w:val="18"/>
              </w:rPr>
            </w:pPr>
            <w:r w:rsidRPr="00BC697C">
              <w:rPr>
                <w:rFonts w:eastAsia="Times New Roman"/>
                <w:sz w:val="18"/>
                <w:szCs w:val="18"/>
              </w:rPr>
              <w:t>If I prioritize governance over environment, who should I invest in?</w:t>
            </w:r>
          </w:p>
        </w:tc>
        <w:tc>
          <w:tcPr>
            <w:tcW w:w="2623" w:type="dxa"/>
          </w:tcPr>
          <w:p w14:paraId="059DF1C6" w14:textId="512CCBE5" w:rsidR="00BC697C" w:rsidRPr="00BC697C" w:rsidRDefault="00BC697C" w:rsidP="00BC697C">
            <w:pPr>
              <w:jc w:val="both"/>
              <w:rPr>
                <w:rFonts w:eastAsia="Times New Roman"/>
                <w:sz w:val="18"/>
                <w:szCs w:val="18"/>
              </w:rPr>
            </w:pPr>
            <w:r w:rsidRPr="00BC697C">
              <w:rPr>
                <w:rFonts w:eastAsia="Times New Roman"/>
                <w:sz w:val="18"/>
                <w:szCs w:val="18"/>
              </w:rPr>
              <w:t>Highlighted MSFT and UNL based on Governance_Score and Financial_Score correlation.</w:t>
            </w:r>
          </w:p>
        </w:tc>
        <w:tc>
          <w:tcPr>
            <w:tcW w:w="1031" w:type="dxa"/>
          </w:tcPr>
          <w:p w14:paraId="1750FC71" w14:textId="1E675C23" w:rsidR="00BC697C" w:rsidRPr="00BC697C" w:rsidRDefault="00BC697C" w:rsidP="00BC697C">
            <w:pPr>
              <w:jc w:val="both"/>
              <w:rPr>
                <w:rFonts w:eastAsia="Times New Roman"/>
                <w:sz w:val="18"/>
                <w:szCs w:val="18"/>
              </w:rPr>
            </w:pPr>
            <w:r w:rsidRPr="00BC697C">
              <w:rPr>
                <w:rFonts w:eastAsia="Times New Roman"/>
                <w:sz w:val="18"/>
                <w:szCs w:val="18"/>
              </w:rPr>
              <w:t>Data-referenced justification</w:t>
            </w:r>
          </w:p>
        </w:tc>
      </w:tr>
      <w:tr w:rsidR="00BC697C" w14:paraId="7D14DF14" w14:textId="77777777" w:rsidTr="00831090">
        <w:trPr>
          <w:trHeight w:val="554"/>
        </w:trPr>
        <w:tc>
          <w:tcPr>
            <w:tcW w:w="1471" w:type="dxa"/>
          </w:tcPr>
          <w:p w14:paraId="7B5B7721" w14:textId="77777777" w:rsidR="00BC697C" w:rsidRPr="00BC697C" w:rsidRDefault="00BC697C" w:rsidP="00BC697C">
            <w:pPr>
              <w:jc w:val="both"/>
              <w:rPr>
                <w:rFonts w:eastAsia="Times New Roman"/>
                <w:sz w:val="18"/>
                <w:szCs w:val="18"/>
              </w:rPr>
            </w:pPr>
            <w:r w:rsidRPr="00BC697C">
              <w:rPr>
                <w:rFonts w:eastAsia="Times New Roman"/>
                <w:sz w:val="18"/>
                <w:szCs w:val="18"/>
              </w:rPr>
              <w:t>Explain why MSFT ranks highly.</w:t>
            </w:r>
          </w:p>
        </w:tc>
        <w:tc>
          <w:tcPr>
            <w:tcW w:w="2623" w:type="dxa"/>
          </w:tcPr>
          <w:p w14:paraId="7EF62505" w14:textId="56F40A0E" w:rsidR="00BC697C" w:rsidRPr="00BC697C" w:rsidRDefault="00BC697C" w:rsidP="00BC697C">
            <w:pPr>
              <w:jc w:val="both"/>
              <w:rPr>
                <w:rFonts w:eastAsia="Times New Roman"/>
                <w:sz w:val="18"/>
                <w:szCs w:val="18"/>
              </w:rPr>
            </w:pPr>
            <w:r w:rsidRPr="00BC697C">
              <w:rPr>
                <w:rFonts w:eastAsia="Times New Roman"/>
                <w:sz w:val="18"/>
                <w:szCs w:val="18"/>
              </w:rPr>
              <w:t>Mentioned Governance_Score=0.88, Financial_Score=0.76,and Dividend_Yield stability.</w:t>
            </w:r>
          </w:p>
        </w:tc>
        <w:tc>
          <w:tcPr>
            <w:tcW w:w="1031" w:type="dxa"/>
          </w:tcPr>
          <w:p w14:paraId="43F730B8" w14:textId="5C9B435E" w:rsidR="00BC697C" w:rsidRPr="00BC697C" w:rsidRDefault="00BC697C" w:rsidP="00BC697C">
            <w:pPr>
              <w:jc w:val="both"/>
              <w:rPr>
                <w:rFonts w:eastAsia="Times New Roman"/>
                <w:sz w:val="18"/>
                <w:szCs w:val="18"/>
              </w:rPr>
            </w:pPr>
            <w:r w:rsidRPr="00BC697C">
              <w:rPr>
                <w:rFonts w:eastAsia="Times New Roman"/>
                <w:sz w:val="18"/>
                <w:szCs w:val="18"/>
              </w:rPr>
              <w:t>Grounded, interpretable response</w:t>
            </w:r>
          </w:p>
        </w:tc>
      </w:tr>
    </w:tbl>
    <w:p w14:paraId="1572465E" w14:textId="77777777" w:rsidR="00BC697C" w:rsidRPr="00BC697C" w:rsidRDefault="00BC697C" w:rsidP="00BC697C">
      <w:pPr>
        <w:jc w:val="lowKashida"/>
        <w:rPr>
          <w:rFonts w:asciiTheme="majorBidi" w:eastAsia="Times New Roman" w:hAnsiTheme="majorBidi" w:cstheme="majorBidi"/>
          <w:lang w:val="en-AE"/>
        </w:rPr>
      </w:pPr>
    </w:p>
    <w:p w14:paraId="19DDC44E" w14:textId="71072575" w:rsidR="00A04C39" w:rsidRPr="0047004B" w:rsidRDefault="002E59A1" w:rsidP="0057426F">
      <w:pPr>
        <w:ind w:firstLine="288"/>
        <w:jc w:val="lowKashida"/>
        <w:rPr>
          <w:rFonts w:asciiTheme="majorBidi" w:eastAsia="Times New Roman" w:hAnsiTheme="majorBidi" w:cstheme="majorBidi"/>
          <w:lang w:val="en-AE"/>
        </w:rPr>
      </w:pPr>
      <w:r w:rsidRPr="0047004B">
        <w:rPr>
          <w:rFonts w:asciiTheme="majorBidi" w:eastAsia="Times New Roman" w:hAnsiTheme="majorBidi" w:cstheme="majorBidi"/>
          <w:lang w:val="en-AE"/>
        </w:rPr>
        <w:t xml:space="preserve">The agent's high factual accuracy and interpretability, as shown in Table 1, validated the effectiveness of the </w:t>
      </w:r>
      <w:r w:rsidRPr="0047004B">
        <w:rPr>
          <w:rFonts w:asciiTheme="majorBidi" w:eastAsia="Times New Roman" w:hAnsiTheme="majorBidi" w:cstheme="majorBidi"/>
          <w:i/>
          <w:iCs/>
          <w:lang w:val="en-AE"/>
        </w:rPr>
        <w:t>build_strict_</w:t>
      </w:r>
      <w:r w:rsidR="0047004B" w:rsidRPr="0047004B">
        <w:rPr>
          <w:rFonts w:asciiTheme="majorBidi" w:eastAsia="Times New Roman" w:hAnsiTheme="majorBidi" w:cstheme="majorBidi"/>
          <w:i/>
          <w:iCs/>
          <w:lang w:val="en-AE"/>
        </w:rPr>
        <w:t>prompt</w:t>
      </w:r>
      <w:r w:rsidR="0047004B" w:rsidRPr="0047004B">
        <w:rPr>
          <w:rFonts w:asciiTheme="majorBidi" w:eastAsia="Times New Roman" w:hAnsiTheme="majorBidi" w:cstheme="majorBidi"/>
          <w:lang w:val="en-AE"/>
        </w:rPr>
        <w:t xml:space="preserve"> (</w:t>
      </w:r>
      <w:r w:rsidRPr="0047004B">
        <w:rPr>
          <w:rFonts w:asciiTheme="majorBidi" w:eastAsia="Times New Roman" w:hAnsiTheme="majorBidi" w:cstheme="majorBidi"/>
          <w:lang w:val="en-AE"/>
        </w:rPr>
        <w:t>) design, which guarantees context-constrained, dataset-grounded reasoning</w:t>
      </w:r>
      <w:r w:rsidR="0047004B" w:rsidRPr="0047004B">
        <w:rPr>
          <w:rFonts w:asciiTheme="majorBidi" w:eastAsia="Times New Roman" w:hAnsiTheme="majorBidi" w:cstheme="majorBidi"/>
          <w:lang w:val="en-AE"/>
        </w:rPr>
        <w:t xml:space="preserve"> [</w:t>
      </w:r>
      <w:r w:rsidR="0047004B" w:rsidRPr="0047004B">
        <w:rPr>
          <w:rFonts w:asciiTheme="majorBidi" w:eastAsia="Times New Roman" w:hAnsiTheme="majorBidi" w:cstheme="majorBidi"/>
        </w:rPr>
        <w:t>4,5,11].</w:t>
      </w:r>
    </w:p>
    <w:p w14:paraId="6304C79E" w14:textId="0C991DDF" w:rsidR="00405B15" w:rsidRDefault="002E59A1" w:rsidP="00405B15">
      <w:pPr>
        <w:pStyle w:val="Heading2"/>
      </w:pPr>
      <w:r w:rsidRPr="002E59A1">
        <w:t>Summary of Validation</w:t>
      </w:r>
    </w:p>
    <w:p w14:paraId="12001B41" w14:textId="292238AC" w:rsidR="002E59A1" w:rsidRPr="002E59A1" w:rsidRDefault="002E59A1" w:rsidP="0057426F">
      <w:pPr>
        <w:ind w:firstLine="288"/>
        <w:jc w:val="left"/>
      </w:pPr>
      <w:r w:rsidRPr="002E59A1">
        <w:t>The validation process confirms that:</w:t>
      </w:r>
    </w:p>
    <w:p w14:paraId="496AE8CA" w14:textId="7E6165D4" w:rsidR="000D1A0F" w:rsidRPr="002E59A1" w:rsidRDefault="002E59A1" w:rsidP="002E59A1">
      <w:pPr>
        <w:pStyle w:val="ListParagraph"/>
        <w:numPr>
          <w:ilvl w:val="0"/>
          <w:numId w:val="34"/>
        </w:numPr>
        <w:jc w:val="left"/>
        <w:rPr>
          <w:rFonts w:eastAsia="Times New Roman"/>
          <w:lang w:val="en-AE" w:eastAsia="en-AE"/>
        </w:rPr>
      </w:pPr>
      <w:r w:rsidRPr="002E59A1">
        <w:rPr>
          <w:rFonts w:eastAsia="Times New Roman"/>
          <w:lang w:val="en-AE" w:eastAsia="en-AE"/>
        </w:rPr>
        <w:t>Under various weighting configurations, the scoring algorithm consistently produces rankings that are understandable.</w:t>
      </w:r>
    </w:p>
    <w:p w14:paraId="257178E8" w14:textId="3F421B7B" w:rsidR="000D1A0F" w:rsidRPr="002E59A1" w:rsidRDefault="002E59A1" w:rsidP="000D1A0F">
      <w:pPr>
        <w:pStyle w:val="ListParagraph"/>
        <w:numPr>
          <w:ilvl w:val="0"/>
          <w:numId w:val="34"/>
        </w:numPr>
        <w:jc w:val="left"/>
        <w:rPr>
          <w:rFonts w:eastAsia="Times New Roman"/>
        </w:rPr>
      </w:pPr>
      <w:r w:rsidRPr="002E59A1">
        <w:rPr>
          <w:rFonts w:eastAsia="Times New Roman"/>
        </w:rPr>
        <w:t>The portfolio allocator behaves rationally, scaling allocations in proportion to composite scores.</w:t>
      </w:r>
    </w:p>
    <w:p w14:paraId="0D19D8A1" w14:textId="1EFFD55E" w:rsidR="00B70B42" w:rsidRDefault="0047004B" w:rsidP="002E59A1">
      <w:pPr>
        <w:pStyle w:val="ListParagraph"/>
        <w:numPr>
          <w:ilvl w:val="0"/>
          <w:numId w:val="34"/>
        </w:numPr>
        <w:jc w:val="left"/>
        <w:rPr>
          <w:rFonts w:eastAsia="Times New Roman"/>
          <w:lang w:val="en-AE" w:eastAsia="en-AE"/>
        </w:rPr>
      </w:pPr>
      <w:r w:rsidRPr="002E59A1">
        <w:rPr>
          <w:rFonts w:eastAsia="Times New Roman"/>
          <w:lang w:val="en-AE" w:eastAsia="en-AE"/>
        </w:rPr>
        <w:t>To</w:t>
      </w:r>
      <w:r w:rsidR="002E59A1" w:rsidRPr="002E59A1">
        <w:rPr>
          <w:rFonts w:eastAsia="Times New Roman"/>
          <w:lang w:val="en-AE" w:eastAsia="en-AE"/>
        </w:rPr>
        <w:t xml:space="preserve"> ensure interpretability and credibility, the Agentic AI module consistently grounds its responses in the given dataset.</w:t>
      </w:r>
    </w:p>
    <w:p w14:paraId="3B926C4B" w14:textId="77777777" w:rsidR="002E59A1" w:rsidRDefault="002E59A1" w:rsidP="002E59A1">
      <w:pPr>
        <w:jc w:val="left"/>
        <w:rPr>
          <w:rFonts w:eastAsia="Times New Roman"/>
          <w:lang w:val="en-AE" w:eastAsia="en-AE"/>
        </w:rPr>
      </w:pPr>
    </w:p>
    <w:p w14:paraId="2E02092D" w14:textId="0D3708B8" w:rsidR="002E59A1" w:rsidRDefault="0047004B" w:rsidP="0057426F">
      <w:pPr>
        <w:ind w:firstLine="360"/>
        <w:jc w:val="left"/>
        <w:rPr>
          <w:lang w:val="en-AE" w:eastAsia="en-AE"/>
        </w:rPr>
      </w:pPr>
      <w:r w:rsidRPr="002E59A1">
        <w:rPr>
          <w:rFonts w:eastAsia="Times New Roman"/>
          <w:lang w:val="en-AE" w:eastAsia="en-AE"/>
        </w:rPr>
        <w:t>All</w:t>
      </w:r>
      <w:r w:rsidR="002E59A1" w:rsidRPr="002E59A1">
        <w:rPr>
          <w:rFonts w:eastAsia="Times New Roman"/>
          <w:lang w:val="en-AE" w:eastAsia="en-AE"/>
        </w:rPr>
        <w:t xml:space="preserve"> these findings support FINESSE as an open, comprehensible, and data-driven decision-support system that successfully combines financial intelligence and sustainability insights within an agentic AI framework</w:t>
      </w:r>
      <w:r w:rsidR="00D57950">
        <w:rPr>
          <w:rFonts w:eastAsia="Times New Roman"/>
          <w:sz w:val="24"/>
          <w:szCs w:val="24"/>
          <w:lang w:val="en-AE" w:eastAsia="en-AE"/>
        </w:rPr>
        <w:t xml:space="preserve">      </w:t>
      </w:r>
      <w:r w:rsidRPr="0047004B">
        <w:rPr>
          <w:lang w:val="en-AE" w:eastAsia="en-AE"/>
        </w:rPr>
        <w:t>[1</w:t>
      </w:r>
      <w:r w:rsidR="00D57950">
        <w:rPr>
          <w:lang w:val="en-AE" w:eastAsia="en-AE"/>
        </w:rPr>
        <w:t>,</w:t>
      </w:r>
      <w:r w:rsidRPr="0047004B">
        <w:rPr>
          <w:lang w:val="en-AE" w:eastAsia="en-AE"/>
        </w:rPr>
        <w:t>2,6,11,12].</w:t>
      </w:r>
    </w:p>
    <w:p w14:paraId="31905106" w14:textId="77777777" w:rsidR="009C73FB" w:rsidRPr="0047004B" w:rsidRDefault="009C73FB" w:rsidP="0047004B">
      <w:pPr>
        <w:jc w:val="left"/>
        <w:rPr>
          <w:lang w:val="en-AE" w:eastAsia="en-AE"/>
        </w:rPr>
      </w:pPr>
    </w:p>
    <w:p w14:paraId="4A580E51" w14:textId="77777777" w:rsidR="0080791D" w:rsidRDefault="005B0D39" w:rsidP="00FD5159">
      <w:pPr>
        <w:pStyle w:val="Heading1"/>
        <w:spacing w:before="0"/>
      </w:pPr>
      <w:r>
        <w:t>Conclusion and future work</w:t>
      </w:r>
    </w:p>
    <w:p w14:paraId="0A346411" w14:textId="1D79F224" w:rsidR="0057426F" w:rsidRDefault="0057426F" w:rsidP="0057426F">
      <w:pPr>
        <w:pStyle w:val="NormalWeb"/>
        <w:spacing w:before="240" w:beforeAutospacing="0" w:after="0" w:afterAutospacing="0"/>
        <w:jc w:val="both"/>
        <w:rPr>
          <w:sz w:val="20"/>
          <w:szCs w:val="20"/>
        </w:rPr>
      </w:pPr>
      <w:r>
        <w:rPr>
          <w:sz w:val="20"/>
          <w:szCs w:val="20"/>
        </w:rPr>
        <w:t xml:space="preserve">      </w:t>
      </w:r>
      <w:r w:rsidR="00831090" w:rsidRPr="0047004B">
        <w:rPr>
          <w:sz w:val="20"/>
          <w:szCs w:val="20"/>
        </w:rPr>
        <w:t xml:space="preserve">To harmonize sustainable investing and financial optimization, this study introduced a novel solution, </w:t>
      </w:r>
      <w:r w:rsidR="0047004B" w:rsidRPr="0047004B">
        <w:rPr>
          <w:sz w:val="20"/>
          <w:szCs w:val="20"/>
        </w:rPr>
        <w:t>FINESSE (</w:t>
      </w:r>
      <w:r w:rsidR="00831090" w:rsidRPr="0047004B">
        <w:rPr>
          <w:sz w:val="20"/>
          <w:szCs w:val="20"/>
        </w:rPr>
        <w:t xml:space="preserve">Financial Intelligence for Navigated ESG Evaluation and Strategy Engine), an agentic AI platform. It uses composite scoring models that blend financial ratios </w:t>
      </w:r>
      <w:r w:rsidR="00831090" w:rsidRPr="0047004B">
        <w:rPr>
          <w:sz w:val="20"/>
          <w:szCs w:val="20"/>
        </w:rPr>
        <w:t xml:space="preserve">with environmental, social, and governance (ESG) indices. FINESSE demonstrates that sustainability and profitability </w:t>
      </w:r>
      <w:commentRangeStart w:id="0"/>
      <w:r w:rsidR="00831090" w:rsidRPr="0047004B">
        <w:rPr>
          <w:sz w:val="20"/>
          <w:szCs w:val="20"/>
        </w:rPr>
        <w:t>can coexist in data-driven portfolio construction using two weighting systems (50–50 and 60–40)</w:t>
      </w:r>
      <w:r w:rsidR="0047004B" w:rsidRPr="0047004B">
        <w:rPr>
          <w:sz w:val="20"/>
          <w:szCs w:val="20"/>
        </w:rPr>
        <w:t xml:space="preserve"> [1,2,6].</w:t>
      </w:r>
    </w:p>
    <w:p w14:paraId="512755E5" w14:textId="453DFAE2" w:rsidR="00707780" w:rsidRDefault="00707780" w:rsidP="00707780">
      <w:pPr>
        <w:pStyle w:val="NormalWeb"/>
        <w:spacing w:before="240" w:beforeAutospacing="0" w:after="0" w:afterAutospacing="0"/>
        <w:jc w:val="both"/>
        <w:rPr>
          <w:sz w:val="20"/>
          <w:szCs w:val="20"/>
        </w:rPr>
      </w:pPr>
      <w:r>
        <w:rPr>
          <w:sz w:val="20"/>
          <w:szCs w:val="20"/>
        </w:rPr>
        <w:t xml:space="preserve">          </w:t>
      </w:r>
      <w:r w:rsidR="00831090" w:rsidRPr="0047004B">
        <w:rPr>
          <w:sz w:val="20"/>
          <w:szCs w:val="20"/>
        </w:rPr>
        <w:t>The system combines a local language model (TinyLlama via Ollama), a Python</w:t>
      </w:r>
      <w:commentRangeEnd w:id="0"/>
      <w:r w:rsidR="00CB0F79">
        <w:rPr>
          <w:rStyle w:val="CommentReference"/>
          <w:rFonts w:eastAsia="SimSun"/>
        </w:rPr>
        <w:commentReference w:id="0"/>
      </w:r>
      <w:r w:rsidR="00831090" w:rsidRPr="0047004B">
        <w:rPr>
          <w:sz w:val="20"/>
          <w:szCs w:val="20"/>
        </w:rPr>
        <w:t xml:space="preserve">-based analytics engine, and a Streamlit dashboard to offer interpretability and autonomy. Experimental data showed companies like TSLA, MSFT, and XOM consistently received top scores, confirming model stability. The </w:t>
      </w:r>
      <w:r w:rsidR="0047004B" w:rsidRPr="0047004B">
        <w:rPr>
          <w:sz w:val="20"/>
          <w:szCs w:val="20"/>
        </w:rPr>
        <w:t>Agentic</w:t>
      </w:r>
      <w:r w:rsidR="00831090" w:rsidRPr="0047004B">
        <w:rPr>
          <w:sz w:val="20"/>
          <w:szCs w:val="20"/>
        </w:rPr>
        <w:t xml:space="preserve"> AI component also showcased the potential of language models for real-time, understandable financial advice through dataset-grounded reasoning</w:t>
      </w:r>
      <w:r w:rsidR="0047004B" w:rsidRPr="0047004B">
        <w:rPr>
          <w:sz w:val="20"/>
          <w:szCs w:val="20"/>
        </w:rPr>
        <w:t>.</w:t>
      </w:r>
      <w:r w:rsidR="00831090" w:rsidRPr="0047004B">
        <w:rPr>
          <w:sz w:val="20"/>
          <w:szCs w:val="20"/>
        </w:rPr>
        <w:t xml:space="preserve"> FINESSE stands apart from other ESG tools by adding an autonomous reasoning layer that transforms static data into interactive, decision-oriented insights</w:t>
      </w:r>
      <w:r w:rsidR="0047004B" w:rsidRPr="0047004B">
        <w:rPr>
          <w:sz w:val="20"/>
          <w:szCs w:val="20"/>
        </w:rPr>
        <w:t xml:space="preserve"> [</w:t>
      </w:r>
      <w:r w:rsidR="009467EA">
        <w:rPr>
          <w:sz w:val="20"/>
          <w:szCs w:val="20"/>
        </w:rPr>
        <w:t>4</w:t>
      </w:r>
      <w:r w:rsidR="00D57950">
        <w:rPr>
          <w:sz w:val="20"/>
          <w:szCs w:val="20"/>
        </w:rPr>
        <w:t>,5,</w:t>
      </w:r>
      <w:r w:rsidR="0047004B" w:rsidRPr="0047004B">
        <w:rPr>
          <w:sz w:val="20"/>
          <w:szCs w:val="20"/>
        </w:rPr>
        <w:t>6</w:t>
      </w:r>
      <w:r w:rsidR="00D57950">
        <w:rPr>
          <w:sz w:val="20"/>
          <w:szCs w:val="20"/>
        </w:rPr>
        <w:t>,</w:t>
      </w:r>
      <w:r w:rsidR="0047004B" w:rsidRPr="0047004B">
        <w:rPr>
          <w:sz w:val="20"/>
          <w:szCs w:val="20"/>
        </w:rPr>
        <w:t>11,12].</w:t>
      </w:r>
      <w:r w:rsidR="009467EA">
        <w:rPr>
          <w:sz w:val="20"/>
          <w:szCs w:val="20"/>
        </w:rPr>
        <w:t xml:space="preserve"> </w:t>
      </w:r>
      <w:r>
        <w:rPr>
          <w:sz w:val="20"/>
          <w:szCs w:val="20"/>
        </w:rPr>
        <w:br/>
        <w:t xml:space="preserve">          </w:t>
      </w:r>
      <w:r w:rsidR="00831090" w:rsidRPr="00831090">
        <w:rPr>
          <w:sz w:val="20"/>
          <w:szCs w:val="20"/>
        </w:rPr>
        <w:t xml:space="preserve">Future research could expand the dataset to include live market and ESG feeds </w:t>
      </w:r>
      <w:r w:rsidR="00831090">
        <w:rPr>
          <w:sz w:val="20"/>
          <w:szCs w:val="20"/>
        </w:rPr>
        <w:t xml:space="preserve">such as </w:t>
      </w:r>
      <w:r w:rsidR="00831090" w:rsidRPr="00831090">
        <w:rPr>
          <w:sz w:val="20"/>
          <w:szCs w:val="20"/>
        </w:rPr>
        <w:t>Yahoo Finance, Refinitiv</w:t>
      </w:r>
      <w:r w:rsidR="00831090">
        <w:rPr>
          <w:sz w:val="20"/>
          <w:szCs w:val="20"/>
        </w:rPr>
        <w:t xml:space="preserve"> to</w:t>
      </w:r>
      <w:r w:rsidR="00831090" w:rsidRPr="00831090">
        <w:rPr>
          <w:sz w:val="20"/>
          <w:szCs w:val="20"/>
        </w:rPr>
        <w:t xml:space="preserve"> apply multi-objective optimization or reinforcement learning for adaptive portfolio </w:t>
      </w:r>
      <w:r w:rsidR="0047004B" w:rsidRPr="00831090">
        <w:rPr>
          <w:sz w:val="20"/>
          <w:szCs w:val="20"/>
        </w:rPr>
        <w:t>rebalancing and</w:t>
      </w:r>
      <w:r w:rsidR="00831090" w:rsidRPr="00831090">
        <w:rPr>
          <w:sz w:val="20"/>
          <w:szCs w:val="20"/>
        </w:rPr>
        <w:t xml:space="preserve"> enhance the agentic layer through fine-tuning and dialogue-based learning. Deploying FINESSE as a cloud-hosted decision-support system would enable scalability for institutional and individual </w:t>
      </w:r>
      <w:r w:rsidR="009467EA" w:rsidRPr="00831090">
        <w:rPr>
          <w:sz w:val="20"/>
          <w:szCs w:val="20"/>
        </w:rPr>
        <w:t>investors</w:t>
      </w:r>
      <w:r w:rsidR="009467EA">
        <w:rPr>
          <w:sz w:val="20"/>
          <w:szCs w:val="20"/>
        </w:rPr>
        <w:t xml:space="preserve"> [7-11].</w:t>
      </w:r>
    </w:p>
    <w:p w14:paraId="74D17568" w14:textId="0EC29D68" w:rsidR="005B235E" w:rsidRPr="009467EA" w:rsidRDefault="00707780" w:rsidP="00707780">
      <w:pPr>
        <w:pStyle w:val="NormalWeb"/>
        <w:spacing w:before="240" w:beforeAutospacing="0" w:after="0" w:afterAutospacing="0"/>
        <w:jc w:val="both"/>
        <w:rPr>
          <w:sz w:val="20"/>
          <w:szCs w:val="20"/>
        </w:rPr>
      </w:pPr>
      <w:r>
        <w:rPr>
          <w:sz w:val="20"/>
          <w:szCs w:val="20"/>
        </w:rPr>
        <w:t xml:space="preserve">           </w:t>
      </w:r>
      <w:r w:rsidR="00831090" w:rsidRPr="00831090">
        <w:rPr>
          <w:sz w:val="20"/>
          <w:szCs w:val="20"/>
        </w:rPr>
        <w:t>Overall, FINESSE lays the foundation for agentic, explainable, and sustainability-aligned financial intelligence, showing how AI can evolve from analytical support to autonomous, ethically grounded decision-making in sustainable finance</w:t>
      </w:r>
      <w:r w:rsidR="009467EA" w:rsidRPr="009467EA">
        <w:rPr>
          <w:rFonts w:eastAsia="SimSun"/>
          <w:sz w:val="20"/>
          <w:szCs w:val="20"/>
        </w:rPr>
        <w:t xml:space="preserve"> </w:t>
      </w:r>
      <w:r w:rsidR="009467EA" w:rsidRPr="009467EA">
        <w:rPr>
          <w:sz w:val="20"/>
          <w:szCs w:val="20"/>
        </w:rPr>
        <w:t>[1,2</w:t>
      </w:r>
      <w:r w:rsidR="00D57950">
        <w:rPr>
          <w:sz w:val="20"/>
          <w:szCs w:val="20"/>
        </w:rPr>
        <w:t>,</w:t>
      </w:r>
      <w:r w:rsidR="009467EA" w:rsidRPr="009467EA">
        <w:rPr>
          <w:sz w:val="20"/>
          <w:szCs w:val="20"/>
        </w:rPr>
        <w:t>4</w:t>
      </w:r>
      <w:r w:rsidR="00D57950">
        <w:rPr>
          <w:sz w:val="20"/>
          <w:szCs w:val="20"/>
        </w:rPr>
        <w:t>,5,</w:t>
      </w:r>
      <w:r w:rsidR="009467EA" w:rsidRPr="009467EA">
        <w:rPr>
          <w:sz w:val="20"/>
          <w:szCs w:val="20"/>
        </w:rPr>
        <w:t>6,11,12]</w:t>
      </w:r>
      <w:r w:rsidR="009467EA">
        <w:rPr>
          <w:sz w:val="20"/>
          <w:szCs w:val="20"/>
        </w:rPr>
        <w:t>.</w:t>
      </w:r>
    </w:p>
    <w:p w14:paraId="6E1034ED" w14:textId="77777777" w:rsidR="009303D9" w:rsidRPr="005B520E" w:rsidRDefault="009303D9" w:rsidP="00B10DB9">
      <w:pPr>
        <w:pStyle w:val="Heading5"/>
      </w:pPr>
      <w:r w:rsidRPr="005B520E">
        <w:t>References</w:t>
      </w:r>
    </w:p>
    <w:p w14:paraId="793B15F9" w14:textId="2B9ADC2C" w:rsidR="00F06A38" w:rsidRDefault="00F06A38" w:rsidP="00F06A38">
      <w:pPr>
        <w:pStyle w:val="references"/>
        <w:tabs>
          <w:tab w:val="num" w:pos="360"/>
        </w:tabs>
        <w:ind w:left="354" w:hanging="354"/>
      </w:pPr>
      <w:r>
        <w:t>[1] G. Friede, T. Busch, and A. Bassen, “ESG and financial performance: Aggregated evidence from more than 2000 empirical studies,” Journal of Sustainable Finance &amp; Investment, vol. 5, no. 4, pp. 210–233, 2015.</w:t>
      </w:r>
    </w:p>
    <w:p w14:paraId="6DE3EA1F" w14:textId="6EFD48EA" w:rsidR="00F06A38" w:rsidRDefault="00F06A38" w:rsidP="00F06A38">
      <w:pPr>
        <w:pStyle w:val="references"/>
        <w:tabs>
          <w:tab w:val="num" w:pos="360"/>
        </w:tabs>
        <w:ind w:left="354" w:hanging="354"/>
      </w:pPr>
      <w:r>
        <w:t>[2] R. G. Eccles, I. Ioannou, and G. Serafeim, “The impact of corporate sustainability on organizational processes and performance,” Management Science, vol. 60, no. 11, pp. 2835–2857, 2014.</w:t>
      </w:r>
    </w:p>
    <w:p w14:paraId="2DEBB24F" w14:textId="05E33D69" w:rsidR="00F06A38" w:rsidRDefault="00F06A38" w:rsidP="00F06A38">
      <w:pPr>
        <w:pStyle w:val="references"/>
        <w:tabs>
          <w:tab w:val="num" w:pos="360"/>
        </w:tabs>
        <w:ind w:left="354" w:hanging="354"/>
      </w:pPr>
      <w:r>
        <w:t>[3] F. Berg, J. Kölbel, and R. Rigobon, “Aggregate Confusion: The Divergence of ESG Ratings,” Review of Finance, vol. 26, no. 6, pp. 1315–1344, 2022.</w:t>
      </w:r>
    </w:p>
    <w:p w14:paraId="7BD7901F" w14:textId="79B7971E" w:rsidR="00F06A38" w:rsidRDefault="00F06A38" w:rsidP="00F06A38">
      <w:pPr>
        <w:pStyle w:val="references"/>
        <w:tabs>
          <w:tab w:val="num" w:pos="360"/>
        </w:tabs>
        <w:ind w:left="354" w:hanging="354"/>
      </w:pPr>
      <w:r>
        <w:t>[4] F. Doshi-Velez and B. Kim, “Towards a rigorous science of interpretable machine learning,” arXiv preprint arXiv:1702.08608, 2017.</w:t>
      </w:r>
    </w:p>
    <w:p w14:paraId="5E3CE314" w14:textId="132D6006" w:rsidR="00F06A38" w:rsidRDefault="00F06A38" w:rsidP="00F06A38">
      <w:pPr>
        <w:pStyle w:val="references"/>
        <w:tabs>
          <w:tab w:val="num" w:pos="360"/>
        </w:tabs>
        <w:ind w:left="354" w:hanging="354"/>
      </w:pPr>
      <w:r>
        <w:t>[5] A. B. Arrieta, N. Díaz-Rodríguez, J. Del Ser, et al., “Explainable Artificial Intelligence (XAI): Concepts, taxonomies, opportunities and challenges toward responsible AI,” Information Fusion, vol. 58, pp. 82–115, 2020.</w:t>
      </w:r>
    </w:p>
    <w:p w14:paraId="1D0B5854" w14:textId="4EC97F0D" w:rsidR="00F06A38" w:rsidRDefault="00F06A38" w:rsidP="00F06A38">
      <w:pPr>
        <w:pStyle w:val="references"/>
        <w:tabs>
          <w:tab w:val="num" w:pos="360"/>
        </w:tabs>
        <w:ind w:left="354" w:hanging="354"/>
      </w:pPr>
      <w:r>
        <w:t>[6] Y. Liu, J. Kim, and D. Park, “AI-driven ESG portfolio construction using multi-factor scoring and explainable models,” Expert Systems with Applications, vol. 223, p. 119897, 2023.</w:t>
      </w:r>
    </w:p>
    <w:p w14:paraId="0EE9A778" w14:textId="231BEA65" w:rsidR="00F06A38" w:rsidRDefault="00F06A38" w:rsidP="00F06A38">
      <w:pPr>
        <w:pStyle w:val="references"/>
        <w:tabs>
          <w:tab w:val="num" w:pos="360"/>
        </w:tabs>
        <w:ind w:left="354" w:hanging="354"/>
      </w:pPr>
      <w:r>
        <w:t>[7] MSCI, “ESG Ratings Methodology,” MSCI Research, 2023. [Online]. Available: https://www.msci.com/our-solutions/esg-investing/esg-ratings</w:t>
      </w:r>
    </w:p>
    <w:p w14:paraId="51615C8C" w14:textId="00FBE1E9" w:rsidR="00F06A38" w:rsidRDefault="00F06A38" w:rsidP="00F06A38">
      <w:pPr>
        <w:pStyle w:val="references"/>
        <w:tabs>
          <w:tab w:val="num" w:pos="360"/>
        </w:tabs>
        <w:ind w:left="354" w:hanging="354"/>
      </w:pPr>
      <w:r>
        <w:t>[8] Refinitiv (LSEG), “Environmental, Social and Governance (ESG) Scores Methodology,” Refinitiv ESG Data Guide, 2022. [Online]. Available: https://www.refinitiv.com/en/sustainable-finance/esg-scores</w:t>
      </w:r>
    </w:p>
    <w:p w14:paraId="67B9B404" w14:textId="5A166A7B" w:rsidR="00F06A38" w:rsidRDefault="00F06A38" w:rsidP="00F06A38">
      <w:pPr>
        <w:pStyle w:val="references"/>
        <w:tabs>
          <w:tab w:val="num" w:pos="360"/>
        </w:tabs>
        <w:ind w:left="354" w:hanging="354"/>
      </w:pPr>
      <w:r>
        <w:t>[9] “yfinance — Download market data from Yahoo! Finance’s API,” PyPI, 2024. [Online]. Available: https://pypi.org/project/yfinance/</w:t>
      </w:r>
    </w:p>
    <w:p w14:paraId="457FC141" w14:textId="28FFCB6D" w:rsidR="00F06A38" w:rsidRPr="00FA2654" w:rsidRDefault="00F06A38" w:rsidP="00F06A38">
      <w:pPr>
        <w:pStyle w:val="references"/>
        <w:tabs>
          <w:tab w:val="num" w:pos="360"/>
        </w:tabs>
        <w:ind w:left="354" w:hanging="354"/>
        <w:rPr>
          <w:lang w:val="fr-FR"/>
        </w:rPr>
      </w:pPr>
      <w:r>
        <w:t xml:space="preserve">[10] Streamlit Inc., “Streamlit Documentation — Build data apps in Python,” 2024. </w:t>
      </w:r>
      <w:r w:rsidRPr="00FA2654">
        <w:rPr>
          <w:lang w:val="fr-FR"/>
        </w:rPr>
        <w:t>[Online]. Available: https://docs.streamlit.io</w:t>
      </w:r>
    </w:p>
    <w:p w14:paraId="5125AC6F" w14:textId="77777777" w:rsidR="00F06A38" w:rsidRDefault="00F06A38" w:rsidP="00F06A38">
      <w:pPr>
        <w:pStyle w:val="references"/>
        <w:tabs>
          <w:tab w:val="num" w:pos="360"/>
        </w:tabs>
        <w:ind w:left="354" w:hanging="354"/>
      </w:pPr>
      <w:r w:rsidRPr="00FA2654">
        <w:rPr>
          <w:lang w:val="fr-FR"/>
        </w:rPr>
        <w:t xml:space="preserve">[11] Ollama, “TinyLlama model documentation,” Ollama.ai, 2024. </w:t>
      </w:r>
      <w:r>
        <w:t>[Online]. Available: https://ollama.ai/library/tinyllama</w:t>
      </w:r>
    </w:p>
    <w:p w14:paraId="10964675" w14:textId="0D5949E2" w:rsidR="00D01DB1" w:rsidRPr="00B104F4" w:rsidRDefault="00F06A38" w:rsidP="00A10818">
      <w:pPr>
        <w:pStyle w:val="references"/>
        <w:tabs>
          <w:tab w:val="num" w:pos="360"/>
        </w:tabs>
        <w:ind w:left="354" w:hanging="354"/>
        <w:sectPr w:rsidR="00D01DB1" w:rsidRPr="00B104F4" w:rsidSect="003B4E04">
          <w:type w:val="continuous"/>
          <w:pgSz w:w="11906" w:h="16838" w:code="9"/>
          <w:pgMar w:top="1080" w:right="907" w:bottom="1440" w:left="907" w:header="720" w:footer="720" w:gutter="0"/>
          <w:cols w:num="2" w:space="360"/>
          <w:docGrid w:linePitch="360"/>
        </w:sectPr>
      </w:pPr>
      <w:r>
        <w:t>[12] S. Russell and P. Norvig, Artificial Intelligence: A Modern Approach, 4th ed. Upper Saddle River, NJ, USA: Pearson, 2021</w:t>
      </w:r>
      <w:r w:rsidR="00A10818">
        <w:t>.</w:t>
      </w:r>
    </w:p>
    <w:p w14:paraId="3774F1A8" w14:textId="00A624AB" w:rsidR="00AE2A1B" w:rsidRPr="00F06A38" w:rsidRDefault="00AE2A1B" w:rsidP="004026C7">
      <w:pPr>
        <w:jc w:val="both"/>
        <w:rPr>
          <w:sz w:val="16"/>
          <w:szCs w:val="16"/>
          <w:lang w:val="en-AE"/>
        </w:rPr>
      </w:pPr>
    </w:p>
    <w:sectPr w:rsidR="00AE2A1B" w:rsidRPr="00F06A38" w:rsidSect="003B4E04">
      <w:type w:val="continuous"/>
      <w:pgSz w:w="11906" w:h="16838" w:code="9"/>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Mervat Madi" w:date="2025-10-11T14:01:00Z" w:initials="MM">
    <w:p w14:paraId="0EAC0270" w14:textId="77777777" w:rsidR="00CB0F79" w:rsidRDefault="00CB0F79" w:rsidP="00CB0F79">
      <w:pPr>
        <w:jc w:val="left"/>
      </w:pPr>
      <w:r>
        <w:rPr>
          <w:rStyle w:val="CommentReference"/>
        </w:rPr>
        <w:annotationRef/>
      </w:r>
      <w:r>
        <w:rPr>
          <w:color w:val="000000"/>
        </w:rPr>
        <w:t>Remove space between paragraphs</w:t>
      </w:r>
    </w:p>
    <w:p w14:paraId="65499BAB" w14:textId="77777777" w:rsidR="00CB0F79" w:rsidRDefault="00CB0F79" w:rsidP="00CB0F79">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499BA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D99D62" w16cex:dateUtc="2025-10-11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499BAB" w16cid:durableId="5AD99D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B09F1" w14:textId="77777777" w:rsidR="00D77CA0" w:rsidRDefault="00D77CA0" w:rsidP="001A3B3D">
      <w:r>
        <w:separator/>
      </w:r>
    </w:p>
  </w:endnote>
  <w:endnote w:type="continuationSeparator" w:id="0">
    <w:p w14:paraId="5CE920B9" w14:textId="77777777" w:rsidR="00D77CA0" w:rsidRDefault="00D77CA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D175" w14:textId="77777777" w:rsidR="00D77CA0" w:rsidRDefault="00D77CA0" w:rsidP="001A3B3D">
      <w:r>
        <w:separator/>
      </w:r>
    </w:p>
  </w:footnote>
  <w:footnote w:type="continuationSeparator" w:id="0">
    <w:p w14:paraId="2F74B39B" w14:textId="77777777" w:rsidR="00D77CA0" w:rsidRDefault="00D77CA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51A1F"/>
    <w:multiLevelType w:val="hybridMultilevel"/>
    <w:tmpl w:val="EB164782"/>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2" w15:restartNumberingAfterBreak="0">
    <w:nsid w:val="046252B8"/>
    <w:multiLevelType w:val="hybridMultilevel"/>
    <w:tmpl w:val="42A40B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0E771272"/>
    <w:multiLevelType w:val="multilevel"/>
    <w:tmpl w:val="C10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36E29"/>
    <w:multiLevelType w:val="hybridMultilevel"/>
    <w:tmpl w:val="B9E887D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B7218E5"/>
    <w:multiLevelType w:val="hybridMultilevel"/>
    <w:tmpl w:val="5EECF3A4"/>
    <w:lvl w:ilvl="0" w:tplc="4C090001">
      <w:start w:val="1"/>
      <w:numFmt w:val="bullet"/>
      <w:lvlText w:val=""/>
      <w:lvlJc w:val="left"/>
      <w:pPr>
        <w:ind w:left="1008" w:hanging="360"/>
      </w:pPr>
      <w:rPr>
        <w:rFonts w:ascii="Symbol" w:hAnsi="Symbol" w:hint="default"/>
      </w:rPr>
    </w:lvl>
    <w:lvl w:ilvl="1" w:tplc="4C090003" w:tentative="1">
      <w:start w:val="1"/>
      <w:numFmt w:val="bullet"/>
      <w:lvlText w:val="o"/>
      <w:lvlJc w:val="left"/>
      <w:pPr>
        <w:ind w:left="1728" w:hanging="360"/>
      </w:pPr>
      <w:rPr>
        <w:rFonts w:ascii="Courier New" w:hAnsi="Courier New" w:cs="Courier New" w:hint="default"/>
      </w:rPr>
    </w:lvl>
    <w:lvl w:ilvl="2" w:tplc="4C090005" w:tentative="1">
      <w:start w:val="1"/>
      <w:numFmt w:val="bullet"/>
      <w:lvlText w:val=""/>
      <w:lvlJc w:val="left"/>
      <w:pPr>
        <w:ind w:left="2448" w:hanging="360"/>
      </w:pPr>
      <w:rPr>
        <w:rFonts w:ascii="Wingdings" w:hAnsi="Wingdings" w:hint="default"/>
      </w:rPr>
    </w:lvl>
    <w:lvl w:ilvl="3" w:tplc="4C090001" w:tentative="1">
      <w:start w:val="1"/>
      <w:numFmt w:val="bullet"/>
      <w:lvlText w:val=""/>
      <w:lvlJc w:val="left"/>
      <w:pPr>
        <w:ind w:left="3168" w:hanging="360"/>
      </w:pPr>
      <w:rPr>
        <w:rFonts w:ascii="Symbol" w:hAnsi="Symbol" w:hint="default"/>
      </w:rPr>
    </w:lvl>
    <w:lvl w:ilvl="4" w:tplc="4C090003" w:tentative="1">
      <w:start w:val="1"/>
      <w:numFmt w:val="bullet"/>
      <w:lvlText w:val="o"/>
      <w:lvlJc w:val="left"/>
      <w:pPr>
        <w:ind w:left="3888" w:hanging="360"/>
      </w:pPr>
      <w:rPr>
        <w:rFonts w:ascii="Courier New" w:hAnsi="Courier New" w:cs="Courier New" w:hint="default"/>
      </w:rPr>
    </w:lvl>
    <w:lvl w:ilvl="5" w:tplc="4C090005" w:tentative="1">
      <w:start w:val="1"/>
      <w:numFmt w:val="bullet"/>
      <w:lvlText w:val=""/>
      <w:lvlJc w:val="left"/>
      <w:pPr>
        <w:ind w:left="4608" w:hanging="360"/>
      </w:pPr>
      <w:rPr>
        <w:rFonts w:ascii="Wingdings" w:hAnsi="Wingdings" w:hint="default"/>
      </w:rPr>
    </w:lvl>
    <w:lvl w:ilvl="6" w:tplc="4C090001" w:tentative="1">
      <w:start w:val="1"/>
      <w:numFmt w:val="bullet"/>
      <w:lvlText w:val=""/>
      <w:lvlJc w:val="left"/>
      <w:pPr>
        <w:ind w:left="5328" w:hanging="360"/>
      </w:pPr>
      <w:rPr>
        <w:rFonts w:ascii="Symbol" w:hAnsi="Symbol" w:hint="default"/>
      </w:rPr>
    </w:lvl>
    <w:lvl w:ilvl="7" w:tplc="4C090003" w:tentative="1">
      <w:start w:val="1"/>
      <w:numFmt w:val="bullet"/>
      <w:lvlText w:val="o"/>
      <w:lvlJc w:val="left"/>
      <w:pPr>
        <w:ind w:left="6048" w:hanging="360"/>
      </w:pPr>
      <w:rPr>
        <w:rFonts w:ascii="Courier New" w:hAnsi="Courier New" w:cs="Courier New" w:hint="default"/>
      </w:rPr>
    </w:lvl>
    <w:lvl w:ilvl="8" w:tplc="4C090005" w:tentative="1">
      <w:start w:val="1"/>
      <w:numFmt w:val="bullet"/>
      <w:lvlText w:val=""/>
      <w:lvlJc w:val="left"/>
      <w:pPr>
        <w:ind w:left="6768"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52A5A3D"/>
    <w:multiLevelType w:val="hybridMultilevel"/>
    <w:tmpl w:val="60AC45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3649501C"/>
    <w:multiLevelType w:val="hybridMultilevel"/>
    <w:tmpl w:val="0096F2F6"/>
    <w:lvl w:ilvl="0" w:tplc="4C090015">
      <w:start w:val="1"/>
      <w:numFmt w:val="upperLetter"/>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263782"/>
    <w:multiLevelType w:val="hybridMultilevel"/>
    <w:tmpl w:val="5022A4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36B401F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41768B8"/>
    <w:multiLevelType w:val="hybridMultilevel"/>
    <w:tmpl w:val="DE9A34CE"/>
    <w:lvl w:ilvl="0" w:tplc="A6743620">
      <w:numFmt w:val="bullet"/>
      <w:lvlText w:val="-"/>
      <w:lvlJc w:val="left"/>
      <w:pPr>
        <w:ind w:left="408" w:hanging="360"/>
      </w:pPr>
      <w:rPr>
        <w:rFonts w:ascii="Times New Roman" w:eastAsia="SimSun" w:hAnsi="Times New Roman" w:cs="Times New Roman" w:hint="default"/>
        <w:b/>
      </w:rPr>
    </w:lvl>
    <w:lvl w:ilvl="1" w:tplc="4C090003" w:tentative="1">
      <w:start w:val="1"/>
      <w:numFmt w:val="bullet"/>
      <w:lvlText w:val="o"/>
      <w:lvlJc w:val="left"/>
      <w:pPr>
        <w:ind w:left="1128" w:hanging="360"/>
      </w:pPr>
      <w:rPr>
        <w:rFonts w:ascii="Courier New" w:hAnsi="Courier New" w:cs="Courier New" w:hint="default"/>
      </w:rPr>
    </w:lvl>
    <w:lvl w:ilvl="2" w:tplc="4C090005" w:tentative="1">
      <w:start w:val="1"/>
      <w:numFmt w:val="bullet"/>
      <w:lvlText w:val=""/>
      <w:lvlJc w:val="left"/>
      <w:pPr>
        <w:ind w:left="1848" w:hanging="360"/>
      </w:pPr>
      <w:rPr>
        <w:rFonts w:ascii="Wingdings" w:hAnsi="Wingdings" w:hint="default"/>
      </w:rPr>
    </w:lvl>
    <w:lvl w:ilvl="3" w:tplc="4C090001" w:tentative="1">
      <w:start w:val="1"/>
      <w:numFmt w:val="bullet"/>
      <w:lvlText w:val=""/>
      <w:lvlJc w:val="left"/>
      <w:pPr>
        <w:ind w:left="2568" w:hanging="360"/>
      </w:pPr>
      <w:rPr>
        <w:rFonts w:ascii="Symbol" w:hAnsi="Symbol" w:hint="default"/>
      </w:rPr>
    </w:lvl>
    <w:lvl w:ilvl="4" w:tplc="4C090003" w:tentative="1">
      <w:start w:val="1"/>
      <w:numFmt w:val="bullet"/>
      <w:lvlText w:val="o"/>
      <w:lvlJc w:val="left"/>
      <w:pPr>
        <w:ind w:left="3288" w:hanging="360"/>
      </w:pPr>
      <w:rPr>
        <w:rFonts w:ascii="Courier New" w:hAnsi="Courier New" w:cs="Courier New" w:hint="default"/>
      </w:rPr>
    </w:lvl>
    <w:lvl w:ilvl="5" w:tplc="4C090005" w:tentative="1">
      <w:start w:val="1"/>
      <w:numFmt w:val="bullet"/>
      <w:lvlText w:val=""/>
      <w:lvlJc w:val="left"/>
      <w:pPr>
        <w:ind w:left="4008" w:hanging="360"/>
      </w:pPr>
      <w:rPr>
        <w:rFonts w:ascii="Wingdings" w:hAnsi="Wingdings" w:hint="default"/>
      </w:rPr>
    </w:lvl>
    <w:lvl w:ilvl="6" w:tplc="4C090001" w:tentative="1">
      <w:start w:val="1"/>
      <w:numFmt w:val="bullet"/>
      <w:lvlText w:val=""/>
      <w:lvlJc w:val="left"/>
      <w:pPr>
        <w:ind w:left="4728" w:hanging="360"/>
      </w:pPr>
      <w:rPr>
        <w:rFonts w:ascii="Symbol" w:hAnsi="Symbol" w:hint="default"/>
      </w:rPr>
    </w:lvl>
    <w:lvl w:ilvl="7" w:tplc="4C090003" w:tentative="1">
      <w:start w:val="1"/>
      <w:numFmt w:val="bullet"/>
      <w:lvlText w:val="o"/>
      <w:lvlJc w:val="left"/>
      <w:pPr>
        <w:ind w:left="5448" w:hanging="360"/>
      </w:pPr>
      <w:rPr>
        <w:rFonts w:ascii="Courier New" w:hAnsi="Courier New" w:cs="Courier New" w:hint="default"/>
      </w:rPr>
    </w:lvl>
    <w:lvl w:ilvl="8" w:tplc="4C090005" w:tentative="1">
      <w:start w:val="1"/>
      <w:numFmt w:val="bullet"/>
      <w:lvlText w:val=""/>
      <w:lvlJc w:val="left"/>
      <w:pPr>
        <w:ind w:left="6168" w:hanging="360"/>
      </w:pPr>
      <w:rPr>
        <w:rFonts w:ascii="Wingdings" w:hAnsi="Wingdings"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875A7"/>
    <w:multiLevelType w:val="hybridMultilevel"/>
    <w:tmpl w:val="2B3E3A3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52816931"/>
    <w:multiLevelType w:val="hybridMultilevel"/>
    <w:tmpl w:val="BB7616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87959CC"/>
    <w:multiLevelType w:val="multilevel"/>
    <w:tmpl w:val="680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632A0"/>
    <w:multiLevelType w:val="hybridMultilevel"/>
    <w:tmpl w:val="D9E0E73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6D2A2D7E"/>
    <w:multiLevelType w:val="hybridMultilevel"/>
    <w:tmpl w:val="E70082D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7AD80E6A"/>
    <w:multiLevelType w:val="hybridMultilevel"/>
    <w:tmpl w:val="515E05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369909383">
    <w:abstractNumId w:val="21"/>
  </w:num>
  <w:num w:numId="2" w16cid:durableId="568543031">
    <w:abstractNumId w:val="32"/>
  </w:num>
  <w:num w:numId="3" w16cid:durableId="1207790780">
    <w:abstractNumId w:val="18"/>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29"/>
  </w:num>
  <w:num w:numId="9" w16cid:durableId="231694775">
    <w:abstractNumId w:val="33"/>
  </w:num>
  <w:num w:numId="10" w16cid:durableId="2126189682">
    <w:abstractNumId w:val="23"/>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109595345">
    <w:abstractNumId w:val="35"/>
  </w:num>
  <w:num w:numId="26" w16cid:durableId="1551187735">
    <w:abstractNumId w:val="30"/>
  </w:num>
  <w:num w:numId="27" w16cid:durableId="369183242">
    <w:abstractNumId w:val="13"/>
  </w:num>
  <w:num w:numId="28" w16cid:durableId="2035424703">
    <w:abstractNumId w:val="28"/>
  </w:num>
  <w:num w:numId="29" w16cid:durableId="420882033">
    <w:abstractNumId w:val="11"/>
  </w:num>
  <w:num w:numId="30" w16cid:durableId="1293056854">
    <w:abstractNumId w:val="31"/>
  </w:num>
  <w:num w:numId="31" w16cid:durableId="1162818230">
    <w:abstractNumId w:val="19"/>
  </w:num>
  <w:num w:numId="32" w16cid:durableId="607665596">
    <w:abstractNumId w:val="12"/>
  </w:num>
  <w:num w:numId="33" w16cid:durableId="524753522">
    <w:abstractNumId w:val="22"/>
  </w:num>
  <w:num w:numId="34" w16cid:durableId="1420250368">
    <w:abstractNumId w:val="27"/>
  </w:num>
  <w:num w:numId="35" w16cid:durableId="1626426053">
    <w:abstractNumId w:val="15"/>
  </w:num>
  <w:num w:numId="36" w16cid:durableId="1421948192">
    <w:abstractNumId w:val="24"/>
  </w:num>
  <w:num w:numId="37" w16cid:durableId="615329108">
    <w:abstractNumId w:val="20"/>
  </w:num>
  <w:num w:numId="38" w16cid:durableId="1032224574">
    <w:abstractNumId w:val="25"/>
  </w:num>
  <w:num w:numId="39" w16cid:durableId="2089618354">
    <w:abstractNumId w:val="34"/>
  </w:num>
  <w:num w:numId="40" w16cid:durableId="1391417203">
    <w:abstractNumId w:val="14"/>
  </w:num>
  <w:num w:numId="41" w16cid:durableId="12590129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Mervat Madi">
    <w15:presenceInfo w15:providerId="Windows Live" w15:userId="6fc7d2f0b0db5d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46D"/>
    <w:rsid w:val="000236A1"/>
    <w:rsid w:val="0002784A"/>
    <w:rsid w:val="00032C61"/>
    <w:rsid w:val="000374BF"/>
    <w:rsid w:val="0004781E"/>
    <w:rsid w:val="0008218C"/>
    <w:rsid w:val="0008758A"/>
    <w:rsid w:val="000933C8"/>
    <w:rsid w:val="00094336"/>
    <w:rsid w:val="000A08B8"/>
    <w:rsid w:val="000A113E"/>
    <w:rsid w:val="000B532B"/>
    <w:rsid w:val="000C1E68"/>
    <w:rsid w:val="000C5759"/>
    <w:rsid w:val="000C6155"/>
    <w:rsid w:val="000D1A0F"/>
    <w:rsid w:val="000D5497"/>
    <w:rsid w:val="000D5D6E"/>
    <w:rsid w:val="000E0FFC"/>
    <w:rsid w:val="000E2261"/>
    <w:rsid w:val="001059B6"/>
    <w:rsid w:val="00105AA0"/>
    <w:rsid w:val="00106408"/>
    <w:rsid w:val="001130E8"/>
    <w:rsid w:val="00127120"/>
    <w:rsid w:val="00134AFF"/>
    <w:rsid w:val="0014114E"/>
    <w:rsid w:val="00156B74"/>
    <w:rsid w:val="00165DDB"/>
    <w:rsid w:val="0016607B"/>
    <w:rsid w:val="00166A0F"/>
    <w:rsid w:val="00173E3F"/>
    <w:rsid w:val="001865E9"/>
    <w:rsid w:val="00192B3C"/>
    <w:rsid w:val="00195439"/>
    <w:rsid w:val="001957EA"/>
    <w:rsid w:val="001A0D20"/>
    <w:rsid w:val="001A2143"/>
    <w:rsid w:val="001A2EFD"/>
    <w:rsid w:val="001A3B3D"/>
    <w:rsid w:val="001A6C33"/>
    <w:rsid w:val="001B67DC"/>
    <w:rsid w:val="001C4A2E"/>
    <w:rsid w:val="001C5ACC"/>
    <w:rsid w:val="001E43EA"/>
    <w:rsid w:val="0020314E"/>
    <w:rsid w:val="00204380"/>
    <w:rsid w:val="00205CDD"/>
    <w:rsid w:val="002078FA"/>
    <w:rsid w:val="00211BBB"/>
    <w:rsid w:val="00215EC4"/>
    <w:rsid w:val="0022190E"/>
    <w:rsid w:val="002254A9"/>
    <w:rsid w:val="00233D97"/>
    <w:rsid w:val="002347A2"/>
    <w:rsid w:val="00235003"/>
    <w:rsid w:val="00244C6A"/>
    <w:rsid w:val="00253A1E"/>
    <w:rsid w:val="00257A7E"/>
    <w:rsid w:val="00267807"/>
    <w:rsid w:val="002709AA"/>
    <w:rsid w:val="0028046F"/>
    <w:rsid w:val="00282126"/>
    <w:rsid w:val="002835E1"/>
    <w:rsid w:val="002850E3"/>
    <w:rsid w:val="00286120"/>
    <w:rsid w:val="00286C5A"/>
    <w:rsid w:val="00286FD4"/>
    <w:rsid w:val="00292291"/>
    <w:rsid w:val="0029392C"/>
    <w:rsid w:val="0029587F"/>
    <w:rsid w:val="00296E19"/>
    <w:rsid w:val="002A4982"/>
    <w:rsid w:val="002B1CC1"/>
    <w:rsid w:val="002B6AFD"/>
    <w:rsid w:val="002C4A60"/>
    <w:rsid w:val="002D15BB"/>
    <w:rsid w:val="002E04B6"/>
    <w:rsid w:val="002E59A1"/>
    <w:rsid w:val="002F3CFD"/>
    <w:rsid w:val="002F3DA4"/>
    <w:rsid w:val="003460B2"/>
    <w:rsid w:val="00354FCF"/>
    <w:rsid w:val="00356BAC"/>
    <w:rsid w:val="00361276"/>
    <w:rsid w:val="00361356"/>
    <w:rsid w:val="0036135D"/>
    <w:rsid w:val="0037379A"/>
    <w:rsid w:val="00373D44"/>
    <w:rsid w:val="00380092"/>
    <w:rsid w:val="003804F7"/>
    <w:rsid w:val="00393AFF"/>
    <w:rsid w:val="00397EE2"/>
    <w:rsid w:val="003A19E2"/>
    <w:rsid w:val="003A3794"/>
    <w:rsid w:val="003B2B40"/>
    <w:rsid w:val="003B4E04"/>
    <w:rsid w:val="003C6B8E"/>
    <w:rsid w:val="003D0D0B"/>
    <w:rsid w:val="003E64E0"/>
    <w:rsid w:val="003F5638"/>
    <w:rsid w:val="003F5A08"/>
    <w:rsid w:val="004018D3"/>
    <w:rsid w:val="004026C7"/>
    <w:rsid w:val="00405B15"/>
    <w:rsid w:val="00405DA8"/>
    <w:rsid w:val="00407693"/>
    <w:rsid w:val="004103E1"/>
    <w:rsid w:val="00410451"/>
    <w:rsid w:val="00410AE1"/>
    <w:rsid w:val="00420332"/>
    <w:rsid w:val="00420716"/>
    <w:rsid w:val="00422D27"/>
    <w:rsid w:val="00425C51"/>
    <w:rsid w:val="004325FB"/>
    <w:rsid w:val="004432BA"/>
    <w:rsid w:val="0044407E"/>
    <w:rsid w:val="00447BB9"/>
    <w:rsid w:val="0046031D"/>
    <w:rsid w:val="0047004B"/>
    <w:rsid w:val="00473AC9"/>
    <w:rsid w:val="004A17A2"/>
    <w:rsid w:val="004A589B"/>
    <w:rsid w:val="004C03E8"/>
    <w:rsid w:val="004C53FA"/>
    <w:rsid w:val="004C5884"/>
    <w:rsid w:val="004C6F2D"/>
    <w:rsid w:val="004D72B5"/>
    <w:rsid w:val="004E57EC"/>
    <w:rsid w:val="00522979"/>
    <w:rsid w:val="00551B7F"/>
    <w:rsid w:val="00556D9F"/>
    <w:rsid w:val="0056610F"/>
    <w:rsid w:val="0057426F"/>
    <w:rsid w:val="00575BCA"/>
    <w:rsid w:val="00583CD5"/>
    <w:rsid w:val="005965A8"/>
    <w:rsid w:val="005B0344"/>
    <w:rsid w:val="005B0D39"/>
    <w:rsid w:val="005B235E"/>
    <w:rsid w:val="005B520E"/>
    <w:rsid w:val="005C4EE2"/>
    <w:rsid w:val="005D0587"/>
    <w:rsid w:val="005D26B4"/>
    <w:rsid w:val="005D31DD"/>
    <w:rsid w:val="005D33EA"/>
    <w:rsid w:val="005D6DDC"/>
    <w:rsid w:val="005E2800"/>
    <w:rsid w:val="005E3C2D"/>
    <w:rsid w:val="00605825"/>
    <w:rsid w:val="00605D67"/>
    <w:rsid w:val="006130FD"/>
    <w:rsid w:val="00617A64"/>
    <w:rsid w:val="00637E23"/>
    <w:rsid w:val="00643984"/>
    <w:rsid w:val="00645D22"/>
    <w:rsid w:val="00651A08"/>
    <w:rsid w:val="00654204"/>
    <w:rsid w:val="00660357"/>
    <w:rsid w:val="00660D59"/>
    <w:rsid w:val="006644C2"/>
    <w:rsid w:val="00670434"/>
    <w:rsid w:val="00677C6A"/>
    <w:rsid w:val="00680437"/>
    <w:rsid w:val="006836B8"/>
    <w:rsid w:val="00687AD2"/>
    <w:rsid w:val="006A5D82"/>
    <w:rsid w:val="006B3E8B"/>
    <w:rsid w:val="006B6B66"/>
    <w:rsid w:val="006C0F42"/>
    <w:rsid w:val="006D2A12"/>
    <w:rsid w:val="006D67A1"/>
    <w:rsid w:val="006F59A9"/>
    <w:rsid w:val="006F6D3D"/>
    <w:rsid w:val="00705C2A"/>
    <w:rsid w:val="00707780"/>
    <w:rsid w:val="00715BEA"/>
    <w:rsid w:val="007202C3"/>
    <w:rsid w:val="00721041"/>
    <w:rsid w:val="00737349"/>
    <w:rsid w:val="00740EEA"/>
    <w:rsid w:val="00741FE5"/>
    <w:rsid w:val="007549AD"/>
    <w:rsid w:val="00755319"/>
    <w:rsid w:val="00761DE3"/>
    <w:rsid w:val="00794804"/>
    <w:rsid w:val="007B33F1"/>
    <w:rsid w:val="007B6DDA"/>
    <w:rsid w:val="007C0308"/>
    <w:rsid w:val="007C2FF2"/>
    <w:rsid w:val="007D2C9D"/>
    <w:rsid w:val="007D51E0"/>
    <w:rsid w:val="007D6232"/>
    <w:rsid w:val="007E0449"/>
    <w:rsid w:val="007E0516"/>
    <w:rsid w:val="007E789C"/>
    <w:rsid w:val="007F04CF"/>
    <w:rsid w:val="007F1F99"/>
    <w:rsid w:val="007F768F"/>
    <w:rsid w:val="008032F4"/>
    <w:rsid w:val="0080791D"/>
    <w:rsid w:val="008147B5"/>
    <w:rsid w:val="008221D9"/>
    <w:rsid w:val="00825528"/>
    <w:rsid w:val="00831090"/>
    <w:rsid w:val="00835A00"/>
    <w:rsid w:val="00836367"/>
    <w:rsid w:val="008414F2"/>
    <w:rsid w:val="008421AC"/>
    <w:rsid w:val="00842698"/>
    <w:rsid w:val="0084643D"/>
    <w:rsid w:val="00851DBC"/>
    <w:rsid w:val="00852906"/>
    <w:rsid w:val="00855CBD"/>
    <w:rsid w:val="0086691C"/>
    <w:rsid w:val="0087009C"/>
    <w:rsid w:val="0087238C"/>
    <w:rsid w:val="00873603"/>
    <w:rsid w:val="00882AB4"/>
    <w:rsid w:val="0088633F"/>
    <w:rsid w:val="00893978"/>
    <w:rsid w:val="008A2C7D"/>
    <w:rsid w:val="008A4502"/>
    <w:rsid w:val="008B360E"/>
    <w:rsid w:val="008B6524"/>
    <w:rsid w:val="008C02C4"/>
    <w:rsid w:val="008C418A"/>
    <w:rsid w:val="008C4B23"/>
    <w:rsid w:val="008D6F2E"/>
    <w:rsid w:val="008E2468"/>
    <w:rsid w:val="008F6E2C"/>
    <w:rsid w:val="009060EE"/>
    <w:rsid w:val="00917849"/>
    <w:rsid w:val="00920C5D"/>
    <w:rsid w:val="0092709D"/>
    <w:rsid w:val="009303D9"/>
    <w:rsid w:val="0093279E"/>
    <w:rsid w:val="00933C64"/>
    <w:rsid w:val="009467EA"/>
    <w:rsid w:val="00972203"/>
    <w:rsid w:val="00974BD3"/>
    <w:rsid w:val="00986C6C"/>
    <w:rsid w:val="009C73FB"/>
    <w:rsid w:val="009E3C40"/>
    <w:rsid w:val="009E6973"/>
    <w:rsid w:val="009F1D79"/>
    <w:rsid w:val="00A04C39"/>
    <w:rsid w:val="00A059B3"/>
    <w:rsid w:val="00A06AB0"/>
    <w:rsid w:val="00A06F5A"/>
    <w:rsid w:val="00A10818"/>
    <w:rsid w:val="00A127AA"/>
    <w:rsid w:val="00A12EE4"/>
    <w:rsid w:val="00A13797"/>
    <w:rsid w:val="00A32A66"/>
    <w:rsid w:val="00A33138"/>
    <w:rsid w:val="00A35BBD"/>
    <w:rsid w:val="00A36543"/>
    <w:rsid w:val="00A42C52"/>
    <w:rsid w:val="00A500A7"/>
    <w:rsid w:val="00A53E99"/>
    <w:rsid w:val="00A62D8D"/>
    <w:rsid w:val="00AD4A6A"/>
    <w:rsid w:val="00AE2A1B"/>
    <w:rsid w:val="00AE3409"/>
    <w:rsid w:val="00AF1938"/>
    <w:rsid w:val="00AF21C8"/>
    <w:rsid w:val="00AF6025"/>
    <w:rsid w:val="00B104F4"/>
    <w:rsid w:val="00B10DB9"/>
    <w:rsid w:val="00B11A60"/>
    <w:rsid w:val="00B12B90"/>
    <w:rsid w:val="00B20FB8"/>
    <w:rsid w:val="00B22613"/>
    <w:rsid w:val="00B339B1"/>
    <w:rsid w:val="00B3588C"/>
    <w:rsid w:val="00B40FE8"/>
    <w:rsid w:val="00B44A76"/>
    <w:rsid w:val="00B528B2"/>
    <w:rsid w:val="00B62C1C"/>
    <w:rsid w:val="00B6499B"/>
    <w:rsid w:val="00B70B42"/>
    <w:rsid w:val="00B72A6A"/>
    <w:rsid w:val="00B75A49"/>
    <w:rsid w:val="00B761F5"/>
    <w:rsid w:val="00B768D1"/>
    <w:rsid w:val="00B82E1E"/>
    <w:rsid w:val="00B9000C"/>
    <w:rsid w:val="00BA1025"/>
    <w:rsid w:val="00BB109F"/>
    <w:rsid w:val="00BB3648"/>
    <w:rsid w:val="00BC3420"/>
    <w:rsid w:val="00BC697C"/>
    <w:rsid w:val="00BD03F4"/>
    <w:rsid w:val="00BD670B"/>
    <w:rsid w:val="00BE0364"/>
    <w:rsid w:val="00BE1771"/>
    <w:rsid w:val="00BE7D3C"/>
    <w:rsid w:val="00BF1235"/>
    <w:rsid w:val="00BF5BC7"/>
    <w:rsid w:val="00BF5FF6"/>
    <w:rsid w:val="00C0207F"/>
    <w:rsid w:val="00C14B38"/>
    <w:rsid w:val="00C16117"/>
    <w:rsid w:val="00C3075A"/>
    <w:rsid w:val="00C36773"/>
    <w:rsid w:val="00C45733"/>
    <w:rsid w:val="00C571C6"/>
    <w:rsid w:val="00C67FCA"/>
    <w:rsid w:val="00C70EE8"/>
    <w:rsid w:val="00C74FC5"/>
    <w:rsid w:val="00C900DE"/>
    <w:rsid w:val="00C919A4"/>
    <w:rsid w:val="00CA4392"/>
    <w:rsid w:val="00CB0F79"/>
    <w:rsid w:val="00CB580C"/>
    <w:rsid w:val="00CB743A"/>
    <w:rsid w:val="00CC393F"/>
    <w:rsid w:val="00CE2A48"/>
    <w:rsid w:val="00CE2C67"/>
    <w:rsid w:val="00CE3189"/>
    <w:rsid w:val="00D01DB1"/>
    <w:rsid w:val="00D01E2B"/>
    <w:rsid w:val="00D04318"/>
    <w:rsid w:val="00D2176E"/>
    <w:rsid w:val="00D36FC1"/>
    <w:rsid w:val="00D57950"/>
    <w:rsid w:val="00D61253"/>
    <w:rsid w:val="00D632BE"/>
    <w:rsid w:val="00D72D06"/>
    <w:rsid w:val="00D7522C"/>
    <w:rsid w:val="00D7536F"/>
    <w:rsid w:val="00D76668"/>
    <w:rsid w:val="00D77CA0"/>
    <w:rsid w:val="00D8435C"/>
    <w:rsid w:val="00D8587F"/>
    <w:rsid w:val="00DA78B4"/>
    <w:rsid w:val="00DB254E"/>
    <w:rsid w:val="00DB420C"/>
    <w:rsid w:val="00DB6CCC"/>
    <w:rsid w:val="00DC7D52"/>
    <w:rsid w:val="00DC7E4B"/>
    <w:rsid w:val="00DD70A4"/>
    <w:rsid w:val="00DD7198"/>
    <w:rsid w:val="00DE6764"/>
    <w:rsid w:val="00DF1542"/>
    <w:rsid w:val="00DF3875"/>
    <w:rsid w:val="00E07383"/>
    <w:rsid w:val="00E07869"/>
    <w:rsid w:val="00E165BC"/>
    <w:rsid w:val="00E16DE5"/>
    <w:rsid w:val="00E30998"/>
    <w:rsid w:val="00E411B9"/>
    <w:rsid w:val="00E455B1"/>
    <w:rsid w:val="00E521C3"/>
    <w:rsid w:val="00E544B4"/>
    <w:rsid w:val="00E60272"/>
    <w:rsid w:val="00E606BC"/>
    <w:rsid w:val="00E61E12"/>
    <w:rsid w:val="00E65B7D"/>
    <w:rsid w:val="00E65C54"/>
    <w:rsid w:val="00E704EE"/>
    <w:rsid w:val="00E749BB"/>
    <w:rsid w:val="00E7596C"/>
    <w:rsid w:val="00E82748"/>
    <w:rsid w:val="00E878F2"/>
    <w:rsid w:val="00EB7BAF"/>
    <w:rsid w:val="00EC07FF"/>
    <w:rsid w:val="00ED0149"/>
    <w:rsid w:val="00EE5E9F"/>
    <w:rsid w:val="00EF7DE3"/>
    <w:rsid w:val="00F00894"/>
    <w:rsid w:val="00F03103"/>
    <w:rsid w:val="00F04EDD"/>
    <w:rsid w:val="00F06A38"/>
    <w:rsid w:val="00F138A4"/>
    <w:rsid w:val="00F262B2"/>
    <w:rsid w:val="00F271DE"/>
    <w:rsid w:val="00F31CF5"/>
    <w:rsid w:val="00F34977"/>
    <w:rsid w:val="00F55F63"/>
    <w:rsid w:val="00F627DA"/>
    <w:rsid w:val="00F6487B"/>
    <w:rsid w:val="00F7288F"/>
    <w:rsid w:val="00F847A6"/>
    <w:rsid w:val="00F854C4"/>
    <w:rsid w:val="00F93750"/>
    <w:rsid w:val="00F9441B"/>
    <w:rsid w:val="00FA1273"/>
    <w:rsid w:val="00FA2654"/>
    <w:rsid w:val="00FA4C32"/>
    <w:rsid w:val="00FC078E"/>
    <w:rsid w:val="00FC0D15"/>
    <w:rsid w:val="00FC299C"/>
    <w:rsid w:val="00FC2F6C"/>
    <w:rsid w:val="00FD5145"/>
    <w:rsid w:val="00FD5159"/>
    <w:rsid w:val="00FD6B21"/>
    <w:rsid w:val="00FE1C56"/>
    <w:rsid w:val="00FE7114"/>
    <w:rsid w:val="00FF52D4"/>
    <w:rsid w:val="00FF6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EF83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E5E9F"/>
    <w:pPr>
      <w:spacing w:before="100" w:beforeAutospacing="1" w:after="100" w:afterAutospacing="1"/>
      <w:jc w:val="left"/>
    </w:pPr>
    <w:rPr>
      <w:rFonts w:eastAsia="Times New Roman"/>
      <w:sz w:val="24"/>
      <w:szCs w:val="24"/>
    </w:rPr>
  </w:style>
  <w:style w:type="character" w:styleId="PlaceholderText">
    <w:name w:val="Placeholder Text"/>
    <w:basedOn w:val="DefaultParagraphFont"/>
    <w:uiPriority w:val="99"/>
    <w:semiHidden/>
    <w:rsid w:val="004C53FA"/>
    <w:rPr>
      <w:color w:val="666666"/>
    </w:rPr>
  </w:style>
  <w:style w:type="paragraph" w:styleId="ListParagraph">
    <w:name w:val="List Paragraph"/>
    <w:basedOn w:val="Normal"/>
    <w:uiPriority w:val="34"/>
    <w:qFormat/>
    <w:rsid w:val="0086691C"/>
    <w:pPr>
      <w:ind w:left="720"/>
      <w:contextualSpacing/>
    </w:pPr>
  </w:style>
  <w:style w:type="table" w:styleId="TableGrid">
    <w:name w:val="Table Grid"/>
    <w:basedOn w:val="TableNormal"/>
    <w:rsid w:val="00D84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07693"/>
    <w:pPr>
      <w:spacing w:after="200"/>
    </w:pPr>
    <w:rPr>
      <w:i/>
      <w:iCs/>
      <w:color w:val="44546A" w:themeColor="text2"/>
      <w:sz w:val="18"/>
      <w:szCs w:val="18"/>
    </w:rPr>
  </w:style>
  <w:style w:type="paragraph" w:styleId="HTMLPreformatted">
    <w:name w:val="HTML Preformatted"/>
    <w:basedOn w:val="Normal"/>
    <w:link w:val="HTMLPreformattedChar"/>
    <w:rsid w:val="0008218C"/>
    <w:rPr>
      <w:rFonts w:ascii="Consolas" w:hAnsi="Consolas"/>
    </w:rPr>
  </w:style>
  <w:style w:type="character" w:customStyle="1" w:styleId="HTMLPreformattedChar">
    <w:name w:val="HTML Preformatted Char"/>
    <w:basedOn w:val="DefaultParagraphFont"/>
    <w:link w:val="HTMLPreformatted"/>
    <w:rsid w:val="0008218C"/>
    <w:rPr>
      <w:rFonts w:ascii="Consolas" w:hAnsi="Consolas"/>
    </w:rPr>
  </w:style>
  <w:style w:type="character" w:styleId="Hyperlink">
    <w:name w:val="Hyperlink"/>
    <w:basedOn w:val="DefaultParagraphFont"/>
    <w:rsid w:val="00FC299C"/>
    <w:rPr>
      <w:color w:val="0563C1" w:themeColor="hyperlink"/>
      <w:u w:val="single"/>
    </w:rPr>
  </w:style>
  <w:style w:type="character" w:styleId="UnresolvedMention">
    <w:name w:val="Unresolved Mention"/>
    <w:basedOn w:val="DefaultParagraphFont"/>
    <w:uiPriority w:val="99"/>
    <w:semiHidden/>
    <w:unhideWhenUsed/>
    <w:rsid w:val="00FC299C"/>
    <w:rPr>
      <w:color w:val="605E5C"/>
      <w:shd w:val="clear" w:color="auto" w:fill="E1DFDD"/>
    </w:rPr>
  </w:style>
  <w:style w:type="character" w:customStyle="1" w:styleId="apple-converted-space">
    <w:name w:val="apple-converted-space"/>
    <w:basedOn w:val="DefaultParagraphFont"/>
    <w:rsid w:val="00B104F4"/>
  </w:style>
  <w:style w:type="character" w:styleId="Emphasis">
    <w:name w:val="Emphasis"/>
    <w:basedOn w:val="DefaultParagraphFont"/>
    <w:uiPriority w:val="20"/>
    <w:qFormat/>
    <w:rsid w:val="00B104F4"/>
    <w:rPr>
      <w:i/>
      <w:iCs/>
    </w:rPr>
  </w:style>
  <w:style w:type="character" w:styleId="CommentReference">
    <w:name w:val="annotation reference"/>
    <w:basedOn w:val="DefaultParagraphFont"/>
    <w:rsid w:val="00D61253"/>
    <w:rPr>
      <w:sz w:val="16"/>
      <w:szCs w:val="16"/>
    </w:rPr>
  </w:style>
  <w:style w:type="paragraph" w:styleId="CommentText">
    <w:name w:val="annotation text"/>
    <w:basedOn w:val="Normal"/>
    <w:link w:val="CommentTextChar"/>
    <w:rsid w:val="00D61253"/>
  </w:style>
  <w:style w:type="character" w:customStyle="1" w:styleId="CommentTextChar">
    <w:name w:val="Comment Text Char"/>
    <w:basedOn w:val="DefaultParagraphFont"/>
    <w:link w:val="CommentText"/>
    <w:rsid w:val="00D61253"/>
  </w:style>
  <w:style w:type="paragraph" w:styleId="CommentSubject">
    <w:name w:val="annotation subject"/>
    <w:basedOn w:val="CommentText"/>
    <w:next w:val="CommentText"/>
    <w:link w:val="CommentSubjectChar"/>
    <w:rsid w:val="00D61253"/>
    <w:rPr>
      <w:b/>
      <w:bCs/>
    </w:rPr>
  </w:style>
  <w:style w:type="character" w:customStyle="1" w:styleId="CommentSubjectChar">
    <w:name w:val="Comment Subject Char"/>
    <w:basedOn w:val="CommentTextChar"/>
    <w:link w:val="CommentSubject"/>
    <w:rsid w:val="00D612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446">
      <w:bodyDiv w:val="1"/>
      <w:marLeft w:val="0"/>
      <w:marRight w:val="0"/>
      <w:marTop w:val="0"/>
      <w:marBottom w:val="0"/>
      <w:divBdr>
        <w:top w:val="none" w:sz="0" w:space="0" w:color="auto"/>
        <w:left w:val="none" w:sz="0" w:space="0" w:color="auto"/>
        <w:bottom w:val="none" w:sz="0" w:space="0" w:color="auto"/>
        <w:right w:val="none" w:sz="0" w:space="0" w:color="auto"/>
      </w:divBdr>
    </w:div>
    <w:div w:id="14812927">
      <w:bodyDiv w:val="1"/>
      <w:marLeft w:val="0"/>
      <w:marRight w:val="0"/>
      <w:marTop w:val="0"/>
      <w:marBottom w:val="0"/>
      <w:divBdr>
        <w:top w:val="none" w:sz="0" w:space="0" w:color="auto"/>
        <w:left w:val="none" w:sz="0" w:space="0" w:color="auto"/>
        <w:bottom w:val="none" w:sz="0" w:space="0" w:color="auto"/>
        <w:right w:val="none" w:sz="0" w:space="0" w:color="auto"/>
      </w:divBdr>
    </w:div>
    <w:div w:id="31735501">
      <w:bodyDiv w:val="1"/>
      <w:marLeft w:val="0"/>
      <w:marRight w:val="0"/>
      <w:marTop w:val="0"/>
      <w:marBottom w:val="0"/>
      <w:divBdr>
        <w:top w:val="none" w:sz="0" w:space="0" w:color="auto"/>
        <w:left w:val="none" w:sz="0" w:space="0" w:color="auto"/>
        <w:bottom w:val="none" w:sz="0" w:space="0" w:color="auto"/>
        <w:right w:val="none" w:sz="0" w:space="0" w:color="auto"/>
      </w:divBdr>
    </w:div>
    <w:div w:id="40517534">
      <w:bodyDiv w:val="1"/>
      <w:marLeft w:val="0"/>
      <w:marRight w:val="0"/>
      <w:marTop w:val="0"/>
      <w:marBottom w:val="0"/>
      <w:divBdr>
        <w:top w:val="none" w:sz="0" w:space="0" w:color="auto"/>
        <w:left w:val="none" w:sz="0" w:space="0" w:color="auto"/>
        <w:bottom w:val="none" w:sz="0" w:space="0" w:color="auto"/>
        <w:right w:val="none" w:sz="0" w:space="0" w:color="auto"/>
      </w:divBdr>
    </w:div>
    <w:div w:id="48114142">
      <w:bodyDiv w:val="1"/>
      <w:marLeft w:val="0"/>
      <w:marRight w:val="0"/>
      <w:marTop w:val="0"/>
      <w:marBottom w:val="0"/>
      <w:divBdr>
        <w:top w:val="none" w:sz="0" w:space="0" w:color="auto"/>
        <w:left w:val="none" w:sz="0" w:space="0" w:color="auto"/>
        <w:bottom w:val="none" w:sz="0" w:space="0" w:color="auto"/>
        <w:right w:val="none" w:sz="0" w:space="0" w:color="auto"/>
      </w:divBdr>
      <w:divsChild>
        <w:div w:id="1376540695">
          <w:marLeft w:val="0"/>
          <w:marRight w:val="0"/>
          <w:marTop w:val="0"/>
          <w:marBottom w:val="0"/>
          <w:divBdr>
            <w:top w:val="none" w:sz="0" w:space="0" w:color="auto"/>
            <w:left w:val="none" w:sz="0" w:space="0" w:color="auto"/>
            <w:bottom w:val="none" w:sz="0" w:space="0" w:color="auto"/>
            <w:right w:val="none" w:sz="0" w:space="0" w:color="auto"/>
          </w:divBdr>
        </w:div>
      </w:divsChild>
    </w:div>
    <w:div w:id="49424837">
      <w:bodyDiv w:val="1"/>
      <w:marLeft w:val="0"/>
      <w:marRight w:val="0"/>
      <w:marTop w:val="0"/>
      <w:marBottom w:val="0"/>
      <w:divBdr>
        <w:top w:val="none" w:sz="0" w:space="0" w:color="auto"/>
        <w:left w:val="none" w:sz="0" w:space="0" w:color="auto"/>
        <w:bottom w:val="none" w:sz="0" w:space="0" w:color="auto"/>
        <w:right w:val="none" w:sz="0" w:space="0" w:color="auto"/>
      </w:divBdr>
    </w:div>
    <w:div w:id="55015731">
      <w:bodyDiv w:val="1"/>
      <w:marLeft w:val="0"/>
      <w:marRight w:val="0"/>
      <w:marTop w:val="0"/>
      <w:marBottom w:val="0"/>
      <w:divBdr>
        <w:top w:val="none" w:sz="0" w:space="0" w:color="auto"/>
        <w:left w:val="none" w:sz="0" w:space="0" w:color="auto"/>
        <w:bottom w:val="none" w:sz="0" w:space="0" w:color="auto"/>
        <w:right w:val="none" w:sz="0" w:space="0" w:color="auto"/>
      </w:divBdr>
    </w:div>
    <w:div w:id="114641976">
      <w:bodyDiv w:val="1"/>
      <w:marLeft w:val="0"/>
      <w:marRight w:val="0"/>
      <w:marTop w:val="0"/>
      <w:marBottom w:val="0"/>
      <w:divBdr>
        <w:top w:val="none" w:sz="0" w:space="0" w:color="auto"/>
        <w:left w:val="none" w:sz="0" w:space="0" w:color="auto"/>
        <w:bottom w:val="none" w:sz="0" w:space="0" w:color="auto"/>
        <w:right w:val="none" w:sz="0" w:space="0" w:color="auto"/>
      </w:divBdr>
    </w:div>
    <w:div w:id="126975772">
      <w:bodyDiv w:val="1"/>
      <w:marLeft w:val="0"/>
      <w:marRight w:val="0"/>
      <w:marTop w:val="0"/>
      <w:marBottom w:val="0"/>
      <w:divBdr>
        <w:top w:val="none" w:sz="0" w:space="0" w:color="auto"/>
        <w:left w:val="none" w:sz="0" w:space="0" w:color="auto"/>
        <w:bottom w:val="none" w:sz="0" w:space="0" w:color="auto"/>
        <w:right w:val="none" w:sz="0" w:space="0" w:color="auto"/>
      </w:divBdr>
    </w:div>
    <w:div w:id="131602054">
      <w:bodyDiv w:val="1"/>
      <w:marLeft w:val="0"/>
      <w:marRight w:val="0"/>
      <w:marTop w:val="0"/>
      <w:marBottom w:val="0"/>
      <w:divBdr>
        <w:top w:val="none" w:sz="0" w:space="0" w:color="auto"/>
        <w:left w:val="none" w:sz="0" w:space="0" w:color="auto"/>
        <w:bottom w:val="none" w:sz="0" w:space="0" w:color="auto"/>
        <w:right w:val="none" w:sz="0" w:space="0" w:color="auto"/>
      </w:divBdr>
    </w:div>
    <w:div w:id="140121197">
      <w:bodyDiv w:val="1"/>
      <w:marLeft w:val="0"/>
      <w:marRight w:val="0"/>
      <w:marTop w:val="0"/>
      <w:marBottom w:val="0"/>
      <w:divBdr>
        <w:top w:val="none" w:sz="0" w:space="0" w:color="auto"/>
        <w:left w:val="none" w:sz="0" w:space="0" w:color="auto"/>
        <w:bottom w:val="none" w:sz="0" w:space="0" w:color="auto"/>
        <w:right w:val="none" w:sz="0" w:space="0" w:color="auto"/>
      </w:divBdr>
    </w:div>
    <w:div w:id="161481177">
      <w:bodyDiv w:val="1"/>
      <w:marLeft w:val="0"/>
      <w:marRight w:val="0"/>
      <w:marTop w:val="0"/>
      <w:marBottom w:val="0"/>
      <w:divBdr>
        <w:top w:val="none" w:sz="0" w:space="0" w:color="auto"/>
        <w:left w:val="none" w:sz="0" w:space="0" w:color="auto"/>
        <w:bottom w:val="none" w:sz="0" w:space="0" w:color="auto"/>
        <w:right w:val="none" w:sz="0" w:space="0" w:color="auto"/>
      </w:divBdr>
    </w:div>
    <w:div w:id="163516497">
      <w:bodyDiv w:val="1"/>
      <w:marLeft w:val="0"/>
      <w:marRight w:val="0"/>
      <w:marTop w:val="0"/>
      <w:marBottom w:val="0"/>
      <w:divBdr>
        <w:top w:val="none" w:sz="0" w:space="0" w:color="auto"/>
        <w:left w:val="none" w:sz="0" w:space="0" w:color="auto"/>
        <w:bottom w:val="none" w:sz="0" w:space="0" w:color="auto"/>
        <w:right w:val="none" w:sz="0" w:space="0" w:color="auto"/>
      </w:divBdr>
    </w:div>
    <w:div w:id="205143639">
      <w:bodyDiv w:val="1"/>
      <w:marLeft w:val="0"/>
      <w:marRight w:val="0"/>
      <w:marTop w:val="0"/>
      <w:marBottom w:val="0"/>
      <w:divBdr>
        <w:top w:val="none" w:sz="0" w:space="0" w:color="auto"/>
        <w:left w:val="none" w:sz="0" w:space="0" w:color="auto"/>
        <w:bottom w:val="none" w:sz="0" w:space="0" w:color="auto"/>
        <w:right w:val="none" w:sz="0" w:space="0" w:color="auto"/>
      </w:divBdr>
    </w:div>
    <w:div w:id="220672170">
      <w:bodyDiv w:val="1"/>
      <w:marLeft w:val="0"/>
      <w:marRight w:val="0"/>
      <w:marTop w:val="0"/>
      <w:marBottom w:val="0"/>
      <w:divBdr>
        <w:top w:val="none" w:sz="0" w:space="0" w:color="auto"/>
        <w:left w:val="none" w:sz="0" w:space="0" w:color="auto"/>
        <w:bottom w:val="none" w:sz="0" w:space="0" w:color="auto"/>
        <w:right w:val="none" w:sz="0" w:space="0" w:color="auto"/>
      </w:divBdr>
    </w:div>
    <w:div w:id="224685774">
      <w:bodyDiv w:val="1"/>
      <w:marLeft w:val="0"/>
      <w:marRight w:val="0"/>
      <w:marTop w:val="0"/>
      <w:marBottom w:val="0"/>
      <w:divBdr>
        <w:top w:val="none" w:sz="0" w:space="0" w:color="auto"/>
        <w:left w:val="none" w:sz="0" w:space="0" w:color="auto"/>
        <w:bottom w:val="none" w:sz="0" w:space="0" w:color="auto"/>
        <w:right w:val="none" w:sz="0" w:space="0" w:color="auto"/>
      </w:divBdr>
    </w:div>
    <w:div w:id="225184338">
      <w:bodyDiv w:val="1"/>
      <w:marLeft w:val="0"/>
      <w:marRight w:val="0"/>
      <w:marTop w:val="0"/>
      <w:marBottom w:val="0"/>
      <w:divBdr>
        <w:top w:val="none" w:sz="0" w:space="0" w:color="auto"/>
        <w:left w:val="none" w:sz="0" w:space="0" w:color="auto"/>
        <w:bottom w:val="none" w:sz="0" w:space="0" w:color="auto"/>
        <w:right w:val="none" w:sz="0" w:space="0" w:color="auto"/>
      </w:divBdr>
    </w:div>
    <w:div w:id="231624376">
      <w:bodyDiv w:val="1"/>
      <w:marLeft w:val="0"/>
      <w:marRight w:val="0"/>
      <w:marTop w:val="0"/>
      <w:marBottom w:val="0"/>
      <w:divBdr>
        <w:top w:val="none" w:sz="0" w:space="0" w:color="auto"/>
        <w:left w:val="none" w:sz="0" w:space="0" w:color="auto"/>
        <w:bottom w:val="none" w:sz="0" w:space="0" w:color="auto"/>
        <w:right w:val="none" w:sz="0" w:space="0" w:color="auto"/>
      </w:divBdr>
    </w:div>
    <w:div w:id="247925713">
      <w:bodyDiv w:val="1"/>
      <w:marLeft w:val="0"/>
      <w:marRight w:val="0"/>
      <w:marTop w:val="0"/>
      <w:marBottom w:val="0"/>
      <w:divBdr>
        <w:top w:val="none" w:sz="0" w:space="0" w:color="auto"/>
        <w:left w:val="none" w:sz="0" w:space="0" w:color="auto"/>
        <w:bottom w:val="none" w:sz="0" w:space="0" w:color="auto"/>
        <w:right w:val="none" w:sz="0" w:space="0" w:color="auto"/>
      </w:divBdr>
    </w:div>
    <w:div w:id="283316245">
      <w:bodyDiv w:val="1"/>
      <w:marLeft w:val="0"/>
      <w:marRight w:val="0"/>
      <w:marTop w:val="0"/>
      <w:marBottom w:val="0"/>
      <w:divBdr>
        <w:top w:val="none" w:sz="0" w:space="0" w:color="auto"/>
        <w:left w:val="none" w:sz="0" w:space="0" w:color="auto"/>
        <w:bottom w:val="none" w:sz="0" w:space="0" w:color="auto"/>
        <w:right w:val="none" w:sz="0" w:space="0" w:color="auto"/>
      </w:divBdr>
    </w:div>
    <w:div w:id="285089377">
      <w:bodyDiv w:val="1"/>
      <w:marLeft w:val="0"/>
      <w:marRight w:val="0"/>
      <w:marTop w:val="0"/>
      <w:marBottom w:val="0"/>
      <w:divBdr>
        <w:top w:val="none" w:sz="0" w:space="0" w:color="auto"/>
        <w:left w:val="none" w:sz="0" w:space="0" w:color="auto"/>
        <w:bottom w:val="none" w:sz="0" w:space="0" w:color="auto"/>
        <w:right w:val="none" w:sz="0" w:space="0" w:color="auto"/>
      </w:divBdr>
    </w:div>
    <w:div w:id="295332562">
      <w:bodyDiv w:val="1"/>
      <w:marLeft w:val="0"/>
      <w:marRight w:val="0"/>
      <w:marTop w:val="0"/>
      <w:marBottom w:val="0"/>
      <w:divBdr>
        <w:top w:val="none" w:sz="0" w:space="0" w:color="auto"/>
        <w:left w:val="none" w:sz="0" w:space="0" w:color="auto"/>
        <w:bottom w:val="none" w:sz="0" w:space="0" w:color="auto"/>
        <w:right w:val="none" w:sz="0" w:space="0" w:color="auto"/>
      </w:divBdr>
      <w:divsChild>
        <w:div w:id="1358501383">
          <w:marLeft w:val="0"/>
          <w:marRight w:val="0"/>
          <w:marTop w:val="0"/>
          <w:marBottom w:val="0"/>
          <w:divBdr>
            <w:top w:val="none" w:sz="0" w:space="0" w:color="auto"/>
            <w:left w:val="none" w:sz="0" w:space="0" w:color="auto"/>
            <w:bottom w:val="none" w:sz="0" w:space="0" w:color="auto"/>
            <w:right w:val="none" w:sz="0" w:space="0" w:color="auto"/>
          </w:divBdr>
        </w:div>
      </w:divsChild>
    </w:div>
    <w:div w:id="323706634">
      <w:bodyDiv w:val="1"/>
      <w:marLeft w:val="0"/>
      <w:marRight w:val="0"/>
      <w:marTop w:val="0"/>
      <w:marBottom w:val="0"/>
      <w:divBdr>
        <w:top w:val="none" w:sz="0" w:space="0" w:color="auto"/>
        <w:left w:val="none" w:sz="0" w:space="0" w:color="auto"/>
        <w:bottom w:val="none" w:sz="0" w:space="0" w:color="auto"/>
        <w:right w:val="none" w:sz="0" w:space="0" w:color="auto"/>
      </w:divBdr>
    </w:div>
    <w:div w:id="345986539">
      <w:bodyDiv w:val="1"/>
      <w:marLeft w:val="0"/>
      <w:marRight w:val="0"/>
      <w:marTop w:val="0"/>
      <w:marBottom w:val="0"/>
      <w:divBdr>
        <w:top w:val="none" w:sz="0" w:space="0" w:color="auto"/>
        <w:left w:val="none" w:sz="0" w:space="0" w:color="auto"/>
        <w:bottom w:val="none" w:sz="0" w:space="0" w:color="auto"/>
        <w:right w:val="none" w:sz="0" w:space="0" w:color="auto"/>
      </w:divBdr>
    </w:div>
    <w:div w:id="353582965">
      <w:bodyDiv w:val="1"/>
      <w:marLeft w:val="0"/>
      <w:marRight w:val="0"/>
      <w:marTop w:val="0"/>
      <w:marBottom w:val="0"/>
      <w:divBdr>
        <w:top w:val="none" w:sz="0" w:space="0" w:color="auto"/>
        <w:left w:val="none" w:sz="0" w:space="0" w:color="auto"/>
        <w:bottom w:val="none" w:sz="0" w:space="0" w:color="auto"/>
        <w:right w:val="none" w:sz="0" w:space="0" w:color="auto"/>
      </w:divBdr>
    </w:div>
    <w:div w:id="370964040">
      <w:bodyDiv w:val="1"/>
      <w:marLeft w:val="0"/>
      <w:marRight w:val="0"/>
      <w:marTop w:val="0"/>
      <w:marBottom w:val="0"/>
      <w:divBdr>
        <w:top w:val="none" w:sz="0" w:space="0" w:color="auto"/>
        <w:left w:val="none" w:sz="0" w:space="0" w:color="auto"/>
        <w:bottom w:val="none" w:sz="0" w:space="0" w:color="auto"/>
        <w:right w:val="none" w:sz="0" w:space="0" w:color="auto"/>
      </w:divBdr>
    </w:div>
    <w:div w:id="380371903">
      <w:bodyDiv w:val="1"/>
      <w:marLeft w:val="0"/>
      <w:marRight w:val="0"/>
      <w:marTop w:val="0"/>
      <w:marBottom w:val="0"/>
      <w:divBdr>
        <w:top w:val="none" w:sz="0" w:space="0" w:color="auto"/>
        <w:left w:val="none" w:sz="0" w:space="0" w:color="auto"/>
        <w:bottom w:val="none" w:sz="0" w:space="0" w:color="auto"/>
        <w:right w:val="none" w:sz="0" w:space="0" w:color="auto"/>
      </w:divBdr>
    </w:div>
    <w:div w:id="385304170">
      <w:bodyDiv w:val="1"/>
      <w:marLeft w:val="0"/>
      <w:marRight w:val="0"/>
      <w:marTop w:val="0"/>
      <w:marBottom w:val="0"/>
      <w:divBdr>
        <w:top w:val="none" w:sz="0" w:space="0" w:color="auto"/>
        <w:left w:val="none" w:sz="0" w:space="0" w:color="auto"/>
        <w:bottom w:val="none" w:sz="0" w:space="0" w:color="auto"/>
        <w:right w:val="none" w:sz="0" w:space="0" w:color="auto"/>
      </w:divBdr>
    </w:div>
    <w:div w:id="390226712">
      <w:bodyDiv w:val="1"/>
      <w:marLeft w:val="0"/>
      <w:marRight w:val="0"/>
      <w:marTop w:val="0"/>
      <w:marBottom w:val="0"/>
      <w:divBdr>
        <w:top w:val="none" w:sz="0" w:space="0" w:color="auto"/>
        <w:left w:val="none" w:sz="0" w:space="0" w:color="auto"/>
        <w:bottom w:val="none" w:sz="0" w:space="0" w:color="auto"/>
        <w:right w:val="none" w:sz="0" w:space="0" w:color="auto"/>
      </w:divBdr>
    </w:div>
    <w:div w:id="424544770">
      <w:bodyDiv w:val="1"/>
      <w:marLeft w:val="0"/>
      <w:marRight w:val="0"/>
      <w:marTop w:val="0"/>
      <w:marBottom w:val="0"/>
      <w:divBdr>
        <w:top w:val="none" w:sz="0" w:space="0" w:color="auto"/>
        <w:left w:val="none" w:sz="0" w:space="0" w:color="auto"/>
        <w:bottom w:val="none" w:sz="0" w:space="0" w:color="auto"/>
        <w:right w:val="none" w:sz="0" w:space="0" w:color="auto"/>
      </w:divBdr>
    </w:div>
    <w:div w:id="426578144">
      <w:bodyDiv w:val="1"/>
      <w:marLeft w:val="0"/>
      <w:marRight w:val="0"/>
      <w:marTop w:val="0"/>
      <w:marBottom w:val="0"/>
      <w:divBdr>
        <w:top w:val="none" w:sz="0" w:space="0" w:color="auto"/>
        <w:left w:val="none" w:sz="0" w:space="0" w:color="auto"/>
        <w:bottom w:val="none" w:sz="0" w:space="0" w:color="auto"/>
        <w:right w:val="none" w:sz="0" w:space="0" w:color="auto"/>
      </w:divBdr>
    </w:div>
    <w:div w:id="427048110">
      <w:bodyDiv w:val="1"/>
      <w:marLeft w:val="0"/>
      <w:marRight w:val="0"/>
      <w:marTop w:val="0"/>
      <w:marBottom w:val="0"/>
      <w:divBdr>
        <w:top w:val="none" w:sz="0" w:space="0" w:color="auto"/>
        <w:left w:val="none" w:sz="0" w:space="0" w:color="auto"/>
        <w:bottom w:val="none" w:sz="0" w:space="0" w:color="auto"/>
        <w:right w:val="none" w:sz="0" w:space="0" w:color="auto"/>
      </w:divBdr>
    </w:div>
    <w:div w:id="434666828">
      <w:bodyDiv w:val="1"/>
      <w:marLeft w:val="0"/>
      <w:marRight w:val="0"/>
      <w:marTop w:val="0"/>
      <w:marBottom w:val="0"/>
      <w:divBdr>
        <w:top w:val="none" w:sz="0" w:space="0" w:color="auto"/>
        <w:left w:val="none" w:sz="0" w:space="0" w:color="auto"/>
        <w:bottom w:val="none" w:sz="0" w:space="0" w:color="auto"/>
        <w:right w:val="none" w:sz="0" w:space="0" w:color="auto"/>
      </w:divBdr>
    </w:div>
    <w:div w:id="435371853">
      <w:bodyDiv w:val="1"/>
      <w:marLeft w:val="0"/>
      <w:marRight w:val="0"/>
      <w:marTop w:val="0"/>
      <w:marBottom w:val="0"/>
      <w:divBdr>
        <w:top w:val="none" w:sz="0" w:space="0" w:color="auto"/>
        <w:left w:val="none" w:sz="0" w:space="0" w:color="auto"/>
        <w:bottom w:val="none" w:sz="0" w:space="0" w:color="auto"/>
        <w:right w:val="none" w:sz="0" w:space="0" w:color="auto"/>
      </w:divBdr>
    </w:div>
    <w:div w:id="479151298">
      <w:bodyDiv w:val="1"/>
      <w:marLeft w:val="0"/>
      <w:marRight w:val="0"/>
      <w:marTop w:val="0"/>
      <w:marBottom w:val="0"/>
      <w:divBdr>
        <w:top w:val="none" w:sz="0" w:space="0" w:color="auto"/>
        <w:left w:val="none" w:sz="0" w:space="0" w:color="auto"/>
        <w:bottom w:val="none" w:sz="0" w:space="0" w:color="auto"/>
        <w:right w:val="none" w:sz="0" w:space="0" w:color="auto"/>
      </w:divBdr>
    </w:div>
    <w:div w:id="479923884">
      <w:bodyDiv w:val="1"/>
      <w:marLeft w:val="0"/>
      <w:marRight w:val="0"/>
      <w:marTop w:val="0"/>
      <w:marBottom w:val="0"/>
      <w:divBdr>
        <w:top w:val="none" w:sz="0" w:space="0" w:color="auto"/>
        <w:left w:val="none" w:sz="0" w:space="0" w:color="auto"/>
        <w:bottom w:val="none" w:sz="0" w:space="0" w:color="auto"/>
        <w:right w:val="none" w:sz="0" w:space="0" w:color="auto"/>
      </w:divBdr>
    </w:div>
    <w:div w:id="491457026">
      <w:bodyDiv w:val="1"/>
      <w:marLeft w:val="0"/>
      <w:marRight w:val="0"/>
      <w:marTop w:val="0"/>
      <w:marBottom w:val="0"/>
      <w:divBdr>
        <w:top w:val="none" w:sz="0" w:space="0" w:color="auto"/>
        <w:left w:val="none" w:sz="0" w:space="0" w:color="auto"/>
        <w:bottom w:val="none" w:sz="0" w:space="0" w:color="auto"/>
        <w:right w:val="none" w:sz="0" w:space="0" w:color="auto"/>
      </w:divBdr>
    </w:div>
    <w:div w:id="517503791">
      <w:bodyDiv w:val="1"/>
      <w:marLeft w:val="0"/>
      <w:marRight w:val="0"/>
      <w:marTop w:val="0"/>
      <w:marBottom w:val="0"/>
      <w:divBdr>
        <w:top w:val="none" w:sz="0" w:space="0" w:color="auto"/>
        <w:left w:val="none" w:sz="0" w:space="0" w:color="auto"/>
        <w:bottom w:val="none" w:sz="0" w:space="0" w:color="auto"/>
        <w:right w:val="none" w:sz="0" w:space="0" w:color="auto"/>
      </w:divBdr>
    </w:div>
    <w:div w:id="541795985">
      <w:bodyDiv w:val="1"/>
      <w:marLeft w:val="0"/>
      <w:marRight w:val="0"/>
      <w:marTop w:val="0"/>
      <w:marBottom w:val="0"/>
      <w:divBdr>
        <w:top w:val="none" w:sz="0" w:space="0" w:color="auto"/>
        <w:left w:val="none" w:sz="0" w:space="0" w:color="auto"/>
        <w:bottom w:val="none" w:sz="0" w:space="0" w:color="auto"/>
        <w:right w:val="none" w:sz="0" w:space="0" w:color="auto"/>
      </w:divBdr>
    </w:div>
    <w:div w:id="545215054">
      <w:bodyDiv w:val="1"/>
      <w:marLeft w:val="0"/>
      <w:marRight w:val="0"/>
      <w:marTop w:val="0"/>
      <w:marBottom w:val="0"/>
      <w:divBdr>
        <w:top w:val="none" w:sz="0" w:space="0" w:color="auto"/>
        <w:left w:val="none" w:sz="0" w:space="0" w:color="auto"/>
        <w:bottom w:val="none" w:sz="0" w:space="0" w:color="auto"/>
        <w:right w:val="none" w:sz="0" w:space="0" w:color="auto"/>
      </w:divBdr>
    </w:div>
    <w:div w:id="552081140">
      <w:bodyDiv w:val="1"/>
      <w:marLeft w:val="0"/>
      <w:marRight w:val="0"/>
      <w:marTop w:val="0"/>
      <w:marBottom w:val="0"/>
      <w:divBdr>
        <w:top w:val="none" w:sz="0" w:space="0" w:color="auto"/>
        <w:left w:val="none" w:sz="0" w:space="0" w:color="auto"/>
        <w:bottom w:val="none" w:sz="0" w:space="0" w:color="auto"/>
        <w:right w:val="none" w:sz="0" w:space="0" w:color="auto"/>
      </w:divBdr>
    </w:div>
    <w:div w:id="583227796">
      <w:bodyDiv w:val="1"/>
      <w:marLeft w:val="0"/>
      <w:marRight w:val="0"/>
      <w:marTop w:val="0"/>
      <w:marBottom w:val="0"/>
      <w:divBdr>
        <w:top w:val="none" w:sz="0" w:space="0" w:color="auto"/>
        <w:left w:val="none" w:sz="0" w:space="0" w:color="auto"/>
        <w:bottom w:val="none" w:sz="0" w:space="0" w:color="auto"/>
        <w:right w:val="none" w:sz="0" w:space="0" w:color="auto"/>
      </w:divBdr>
    </w:div>
    <w:div w:id="617376021">
      <w:bodyDiv w:val="1"/>
      <w:marLeft w:val="0"/>
      <w:marRight w:val="0"/>
      <w:marTop w:val="0"/>
      <w:marBottom w:val="0"/>
      <w:divBdr>
        <w:top w:val="none" w:sz="0" w:space="0" w:color="auto"/>
        <w:left w:val="none" w:sz="0" w:space="0" w:color="auto"/>
        <w:bottom w:val="none" w:sz="0" w:space="0" w:color="auto"/>
        <w:right w:val="none" w:sz="0" w:space="0" w:color="auto"/>
      </w:divBdr>
    </w:div>
    <w:div w:id="630941053">
      <w:bodyDiv w:val="1"/>
      <w:marLeft w:val="0"/>
      <w:marRight w:val="0"/>
      <w:marTop w:val="0"/>
      <w:marBottom w:val="0"/>
      <w:divBdr>
        <w:top w:val="none" w:sz="0" w:space="0" w:color="auto"/>
        <w:left w:val="none" w:sz="0" w:space="0" w:color="auto"/>
        <w:bottom w:val="none" w:sz="0" w:space="0" w:color="auto"/>
        <w:right w:val="none" w:sz="0" w:space="0" w:color="auto"/>
      </w:divBdr>
    </w:div>
    <w:div w:id="631405181">
      <w:bodyDiv w:val="1"/>
      <w:marLeft w:val="0"/>
      <w:marRight w:val="0"/>
      <w:marTop w:val="0"/>
      <w:marBottom w:val="0"/>
      <w:divBdr>
        <w:top w:val="none" w:sz="0" w:space="0" w:color="auto"/>
        <w:left w:val="none" w:sz="0" w:space="0" w:color="auto"/>
        <w:bottom w:val="none" w:sz="0" w:space="0" w:color="auto"/>
        <w:right w:val="none" w:sz="0" w:space="0" w:color="auto"/>
      </w:divBdr>
    </w:div>
    <w:div w:id="633952134">
      <w:bodyDiv w:val="1"/>
      <w:marLeft w:val="0"/>
      <w:marRight w:val="0"/>
      <w:marTop w:val="0"/>
      <w:marBottom w:val="0"/>
      <w:divBdr>
        <w:top w:val="none" w:sz="0" w:space="0" w:color="auto"/>
        <w:left w:val="none" w:sz="0" w:space="0" w:color="auto"/>
        <w:bottom w:val="none" w:sz="0" w:space="0" w:color="auto"/>
        <w:right w:val="none" w:sz="0" w:space="0" w:color="auto"/>
      </w:divBdr>
      <w:divsChild>
        <w:div w:id="520433591">
          <w:marLeft w:val="0"/>
          <w:marRight w:val="0"/>
          <w:marTop w:val="0"/>
          <w:marBottom w:val="0"/>
          <w:divBdr>
            <w:top w:val="none" w:sz="0" w:space="0" w:color="auto"/>
            <w:left w:val="none" w:sz="0" w:space="0" w:color="auto"/>
            <w:bottom w:val="none" w:sz="0" w:space="0" w:color="auto"/>
            <w:right w:val="none" w:sz="0" w:space="0" w:color="auto"/>
          </w:divBdr>
        </w:div>
      </w:divsChild>
    </w:div>
    <w:div w:id="636378407">
      <w:bodyDiv w:val="1"/>
      <w:marLeft w:val="0"/>
      <w:marRight w:val="0"/>
      <w:marTop w:val="0"/>
      <w:marBottom w:val="0"/>
      <w:divBdr>
        <w:top w:val="none" w:sz="0" w:space="0" w:color="auto"/>
        <w:left w:val="none" w:sz="0" w:space="0" w:color="auto"/>
        <w:bottom w:val="none" w:sz="0" w:space="0" w:color="auto"/>
        <w:right w:val="none" w:sz="0" w:space="0" w:color="auto"/>
      </w:divBdr>
    </w:div>
    <w:div w:id="682172838">
      <w:bodyDiv w:val="1"/>
      <w:marLeft w:val="0"/>
      <w:marRight w:val="0"/>
      <w:marTop w:val="0"/>
      <w:marBottom w:val="0"/>
      <w:divBdr>
        <w:top w:val="none" w:sz="0" w:space="0" w:color="auto"/>
        <w:left w:val="none" w:sz="0" w:space="0" w:color="auto"/>
        <w:bottom w:val="none" w:sz="0" w:space="0" w:color="auto"/>
        <w:right w:val="none" w:sz="0" w:space="0" w:color="auto"/>
      </w:divBdr>
    </w:div>
    <w:div w:id="683898520">
      <w:bodyDiv w:val="1"/>
      <w:marLeft w:val="0"/>
      <w:marRight w:val="0"/>
      <w:marTop w:val="0"/>
      <w:marBottom w:val="0"/>
      <w:divBdr>
        <w:top w:val="none" w:sz="0" w:space="0" w:color="auto"/>
        <w:left w:val="none" w:sz="0" w:space="0" w:color="auto"/>
        <w:bottom w:val="none" w:sz="0" w:space="0" w:color="auto"/>
        <w:right w:val="none" w:sz="0" w:space="0" w:color="auto"/>
      </w:divBdr>
    </w:div>
    <w:div w:id="708452044">
      <w:bodyDiv w:val="1"/>
      <w:marLeft w:val="0"/>
      <w:marRight w:val="0"/>
      <w:marTop w:val="0"/>
      <w:marBottom w:val="0"/>
      <w:divBdr>
        <w:top w:val="none" w:sz="0" w:space="0" w:color="auto"/>
        <w:left w:val="none" w:sz="0" w:space="0" w:color="auto"/>
        <w:bottom w:val="none" w:sz="0" w:space="0" w:color="auto"/>
        <w:right w:val="none" w:sz="0" w:space="0" w:color="auto"/>
      </w:divBdr>
    </w:div>
    <w:div w:id="713390986">
      <w:bodyDiv w:val="1"/>
      <w:marLeft w:val="0"/>
      <w:marRight w:val="0"/>
      <w:marTop w:val="0"/>
      <w:marBottom w:val="0"/>
      <w:divBdr>
        <w:top w:val="none" w:sz="0" w:space="0" w:color="auto"/>
        <w:left w:val="none" w:sz="0" w:space="0" w:color="auto"/>
        <w:bottom w:val="none" w:sz="0" w:space="0" w:color="auto"/>
        <w:right w:val="none" w:sz="0" w:space="0" w:color="auto"/>
      </w:divBdr>
    </w:div>
    <w:div w:id="732385983">
      <w:bodyDiv w:val="1"/>
      <w:marLeft w:val="0"/>
      <w:marRight w:val="0"/>
      <w:marTop w:val="0"/>
      <w:marBottom w:val="0"/>
      <w:divBdr>
        <w:top w:val="none" w:sz="0" w:space="0" w:color="auto"/>
        <w:left w:val="none" w:sz="0" w:space="0" w:color="auto"/>
        <w:bottom w:val="none" w:sz="0" w:space="0" w:color="auto"/>
        <w:right w:val="none" w:sz="0" w:space="0" w:color="auto"/>
      </w:divBdr>
    </w:div>
    <w:div w:id="733088008">
      <w:bodyDiv w:val="1"/>
      <w:marLeft w:val="0"/>
      <w:marRight w:val="0"/>
      <w:marTop w:val="0"/>
      <w:marBottom w:val="0"/>
      <w:divBdr>
        <w:top w:val="none" w:sz="0" w:space="0" w:color="auto"/>
        <w:left w:val="none" w:sz="0" w:space="0" w:color="auto"/>
        <w:bottom w:val="none" w:sz="0" w:space="0" w:color="auto"/>
        <w:right w:val="none" w:sz="0" w:space="0" w:color="auto"/>
      </w:divBdr>
    </w:div>
    <w:div w:id="738672581">
      <w:bodyDiv w:val="1"/>
      <w:marLeft w:val="0"/>
      <w:marRight w:val="0"/>
      <w:marTop w:val="0"/>
      <w:marBottom w:val="0"/>
      <w:divBdr>
        <w:top w:val="none" w:sz="0" w:space="0" w:color="auto"/>
        <w:left w:val="none" w:sz="0" w:space="0" w:color="auto"/>
        <w:bottom w:val="none" w:sz="0" w:space="0" w:color="auto"/>
        <w:right w:val="none" w:sz="0" w:space="0" w:color="auto"/>
      </w:divBdr>
    </w:div>
    <w:div w:id="780341416">
      <w:bodyDiv w:val="1"/>
      <w:marLeft w:val="0"/>
      <w:marRight w:val="0"/>
      <w:marTop w:val="0"/>
      <w:marBottom w:val="0"/>
      <w:divBdr>
        <w:top w:val="none" w:sz="0" w:space="0" w:color="auto"/>
        <w:left w:val="none" w:sz="0" w:space="0" w:color="auto"/>
        <w:bottom w:val="none" w:sz="0" w:space="0" w:color="auto"/>
        <w:right w:val="none" w:sz="0" w:space="0" w:color="auto"/>
      </w:divBdr>
    </w:div>
    <w:div w:id="781924448">
      <w:bodyDiv w:val="1"/>
      <w:marLeft w:val="0"/>
      <w:marRight w:val="0"/>
      <w:marTop w:val="0"/>
      <w:marBottom w:val="0"/>
      <w:divBdr>
        <w:top w:val="none" w:sz="0" w:space="0" w:color="auto"/>
        <w:left w:val="none" w:sz="0" w:space="0" w:color="auto"/>
        <w:bottom w:val="none" w:sz="0" w:space="0" w:color="auto"/>
        <w:right w:val="none" w:sz="0" w:space="0" w:color="auto"/>
      </w:divBdr>
    </w:div>
    <w:div w:id="790827199">
      <w:bodyDiv w:val="1"/>
      <w:marLeft w:val="0"/>
      <w:marRight w:val="0"/>
      <w:marTop w:val="0"/>
      <w:marBottom w:val="0"/>
      <w:divBdr>
        <w:top w:val="none" w:sz="0" w:space="0" w:color="auto"/>
        <w:left w:val="none" w:sz="0" w:space="0" w:color="auto"/>
        <w:bottom w:val="none" w:sz="0" w:space="0" w:color="auto"/>
        <w:right w:val="none" w:sz="0" w:space="0" w:color="auto"/>
      </w:divBdr>
    </w:div>
    <w:div w:id="792292435">
      <w:bodyDiv w:val="1"/>
      <w:marLeft w:val="0"/>
      <w:marRight w:val="0"/>
      <w:marTop w:val="0"/>
      <w:marBottom w:val="0"/>
      <w:divBdr>
        <w:top w:val="none" w:sz="0" w:space="0" w:color="auto"/>
        <w:left w:val="none" w:sz="0" w:space="0" w:color="auto"/>
        <w:bottom w:val="none" w:sz="0" w:space="0" w:color="auto"/>
        <w:right w:val="none" w:sz="0" w:space="0" w:color="auto"/>
      </w:divBdr>
    </w:div>
    <w:div w:id="793794365">
      <w:bodyDiv w:val="1"/>
      <w:marLeft w:val="0"/>
      <w:marRight w:val="0"/>
      <w:marTop w:val="0"/>
      <w:marBottom w:val="0"/>
      <w:divBdr>
        <w:top w:val="none" w:sz="0" w:space="0" w:color="auto"/>
        <w:left w:val="none" w:sz="0" w:space="0" w:color="auto"/>
        <w:bottom w:val="none" w:sz="0" w:space="0" w:color="auto"/>
        <w:right w:val="none" w:sz="0" w:space="0" w:color="auto"/>
      </w:divBdr>
    </w:div>
    <w:div w:id="808596578">
      <w:bodyDiv w:val="1"/>
      <w:marLeft w:val="0"/>
      <w:marRight w:val="0"/>
      <w:marTop w:val="0"/>
      <w:marBottom w:val="0"/>
      <w:divBdr>
        <w:top w:val="none" w:sz="0" w:space="0" w:color="auto"/>
        <w:left w:val="none" w:sz="0" w:space="0" w:color="auto"/>
        <w:bottom w:val="none" w:sz="0" w:space="0" w:color="auto"/>
        <w:right w:val="none" w:sz="0" w:space="0" w:color="auto"/>
      </w:divBdr>
    </w:div>
    <w:div w:id="813720649">
      <w:bodyDiv w:val="1"/>
      <w:marLeft w:val="0"/>
      <w:marRight w:val="0"/>
      <w:marTop w:val="0"/>
      <w:marBottom w:val="0"/>
      <w:divBdr>
        <w:top w:val="none" w:sz="0" w:space="0" w:color="auto"/>
        <w:left w:val="none" w:sz="0" w:space="0" w:color="auto"/>
        <w:bottom w:val="none" w:sz="0" w:space="0" w:color="auto"/>
        <w:right w:val="none" w:sz="0" w:space="0" w:color="auto"/>
      </w:divBdr>
    </w:div>
    <w:div w:id="825323640">
      <w:bodyDiv w:val="1"/>
      <w:marLeft w:val="0"/>
      <w:marRight w:val="0"/>
      <w:marTop w:val="0"/>
      <w:marBottom w:val="0"/>
      <w:divBdr>
        <w:top w:val="none" w:sz="0" w:space="0" w:color="auto"/>
        <w:left w:val="none" w:sz="0" w:space="0" w:color="auto"/>
        <w:bottom w:val="none" w:sz="0" w:space="0" w:color="auto"/>
        <w:right w:val="none" w:sz="0" w:space="0" w:color="auto"/>
      </w:divBdr>
    </w:div>
    <w:div w:id="896820768">
      <w:bodyDiv w:val="1"/>
      <w:marLeft w:val="0"/>
      <w:marRight w:val="0"/>
      <w:marTop w:val="0"/>
      <w:marBottom w:val="0"/>
      <w:divBdr>
        <w:top w:val="none" w:sz="0" w:space="0" w:color="auto"/>
        <w:left w:val="none" w:sz="0" w:space="0" w:color="auto"/>
        <w:bottom w:val="none" w:sz="0" w:space="0" w:color="auto"/>
        <w:right w:val="none" w:sz="0" w:space="0" w:color="auto"/>
      </w:divBdr>
    </w:div>
    <w:div w:id="920262052">
      <w:bodyDiv w:val="1"/>
      <w:marLeft w:val="0"/>
      <w:marRight w:val="0"/>
      <w:marTop w:val="0"/>
      <w:marBottom w:val="0"/>
      <w:divBdr>
        <w:top w:val="none" w:sz="0" w:space="0" w:color="auto"/>
        <w:left w:val="none" w:sz="0" w:space="0" w:color="auto"/>
        <w:bottom w:val="none" w:sz="0" w:space="0" w:color="auto"/>
        <w:right w:val="none" w:sz="0" w:space="0" w:color="auto"/>
      </w:divBdr>
    </w:div>
    <w:div w:id="948007974">
      <w:bodyDiv w:val="1"/>
      <w:marLeft w:val="0"/>
      <w:marRight w:val="0"/>
      <w:marTop w:val="0"/>
      <w:marBottom w:val="0"/>
      <w:divBdr>
        <w:top w:val="none" w:sz="0" w:space="0" w:color="auto"/>
        <w:left w:val="none" w:sz="0" w:space="0" w:color="auto"/>
        <w:bottom w:val="none" w:sz="0" w:space="0" w:color="auto"/>
        <w:right w:val="none" w:sz="0" w:space="0" w:color="auto"/>
      </w:divBdr>
    </w:div>
    <w:div w:id="955332899">
      <w:bodyDiv w:val="1"/>
      <w:marLeft w:val="0"/>
      <w:marRight w:val="0"/>
      <w:marTop w:val="0"/>
      <w:marBottom w:val="0"/>
      <w:divBdr>
        <w:top w:val="none" w:sz="0" w:space="0" w:color="auto"/>
        <w:left w:val="none" w:sz="0" w:space="0" w:color="auto"/>
        <w:bottom w:val="none" w:sz="0" w:space="0" w:color="auto"/>
        <w:right w:val="none" w:sz="0" w:space="0" w:color="auto"/>
      </w:divBdr>
    </w:div>
    <w:div w:id="962537493">
      <w:bodyDiv w:val="1"/>
      <w:marLeft w:val="0"/>
      <w:marRight w:val="0"/>
      <w:marTop w:val="0"/>
      <w:marBottom w:val="0"/>
      <w:divBdr>
        <w:top w:val="none" w:sz="0" w:space="0" w:color="auto"/>
        <w:left w:val="none" w:sz="0" w:space="0" w:color="auto"/>
        <w:bottom w:val="none" w:sz="0" w:space="0" w:color="auto"/>
        <w:right w:val="none" w:sz="0" w:space="0" w:color="auto"/>
      </w:divBdr>
    </w:div>
    <w:div w:id="1023047070">
      <w:bodyDiv w:val="1"/>
      <w:marLeft w:val="0"/>
      <w:marRight w:val="0"/>
      <w:marTop w:val="0"/>
      <w:marBottom w:val="0"/>
      <w:divBdr>
        <w:top w:val="none" w:sz="0" w:space="0" w:color="auto"/>
        <w:left w:val="none" w:sz="0" w:space="0" w:color="auto"/>
        <w:bottom w:val="none" w:sz="0" w:space="0" w:color="auto"/>
        <w:right w:val="none" w:sz="0" w:space="0" w:color="auto"/>
      </w:divBdr>
    </w:div>
    <w:div w:id="1037269681">
      <w:bodyDiv w:val="1"/>
      <w:marLeft w:val="0"/>
      <w:marRight w:val="0"/>
      <w:marTop w:val="0"/>
      <w:marBottom w:val="0"/>
      <w:divBdr>
        <w:top w:val="none" w:sz="0" w:space="0" w:color="auto"/>
        <w:left w:val="none" w:sz="0" w:space="0" w:color="auto"/>
        <w:bottom w:val="none" w:sz="0" w:space="0" w:color="auto"/>
        <w:right w:val="none" w:sz="0" w:space="0" w:color="auto"/>
      </w:divBdr>
    </w:div>
    <w:div w:id="1057704133">
      <w:bodyDiv w:val="1"/>
      <w:marLeft w:val="0"/>
      <w:marRight w:val="0"/>
      <w:marTop w:val="0"/>
      <w:marBottom w:val="0"/>
      <w:divBdr>
        <w:top w:val="none" w:sz="0" w:space="0" w:color="auto"/>
        <w:left w:val="none" w:sz="0" w:space="0" w:color="auto"/>
        <w:bottom w:val="none" w:sz="0" w:space="0" w:color="auto"/>
        <w:right w:val="none" w:sz="0" w:space="0" w:color="auto"/>
      </w:divBdr>
    </w:div>
    <w:div w:id="1058629527">
      <w:bodyDiv w:val="1"/>
      <w:marLeft w:val="0"/>
      <w:marRight w:val="0"/>
      <w:marTop w:val="0"/>
      <w:marBottom w:val="0"/>
      <w:divBdr>
        <w:top w:val="none" w:sz="0" w:space="0" w:color="auto"/>
        <w:left w:val="none" w:sz="0" w:space="0" w:color="auto"/>
        <w:bottom w:val="none" w:sz="0" w:space="0" w:color="auto"/>
        <w:right w:val="none" w:sz="0" w:space="0" w:color="auto"/>
      </w:divBdr>
    </w:div>
    <w:div w:id="1101489782">
      <w:bodyDiv w:val="1"/>
      <w:marLeft w:val="0"/>
      <w:marRight w:val="0"/>
      <w:marTop w:val="0"/>
      <w:marBottom w:val="0"/>
      <w:divBdr>
        <w:top w:val="none" w:sz="0" w:space="0" w:color="auto"/>
        <w:left w:val="none" w:sz="0" w:space="0" w:color="auto"/>
        <w:bottom w:val="none" w:sz="0" w:space="0" w:color="auto"/>
        <w:right w:val="none" w:sz="0" w:space="0" w:color="auto"/>
      </w:divBdr>
    </w:div>
    <w:div w:id="1102333900">
      <w:bodyDiv w:val="1"/>
      <w:marLeft w:val="0"/>
      <w:marRight w:val="0"/>
      <w:marTop w:val="0"/>
      <w:marBottom w:val="0"/>
      <w:divBdr>
        <w:top w:val="none" w:sz="0" w:space="0" w:color="auto"/>
        <w:left w:val="none" w:sz="0" w:space="0" w:color="auto"/>
        <w:bottom w:val="none" w:sz="0" w:space="0" w:color="auto"/>
        <w:right w:val="none" w:sz="0" w:space="0" w:color="auto"/>
      </w:divBdr>
    </w:div>
    <w:div w:id="1110197511">
      <w:bodyDiv w:val="1"/>
      <w:marLeft w:val="0"/>
      <w:marRight w:val="0"/>
      <w:marTop w:val="0"/>
      <w:marBottom w:val="0"/>
      <w:divBdr>
        <w:top w:val="none" w:sz="0" w:space="0" w:color="auto"/>
        <w:left w:val="none" w:sz="0" w:space="0" w:color="auto"/>
        <w:bottom w:val="none" w:sz="0" w:space="0" w:color="auto"/>
        <w:right w:val="none" w:sz="0" w:space="0" w:color="auto"/>
      </w:divBdr>
    </w:div>
    <w:div w:id="1114206241">
      <w:bodyDiv w:val="1"/>
      <w:marLeft w:val="0"/>
      <w:marRight w:val="0"/>
      <w:marTop w:val="0"/>
      <w:marBottom w:val="0"/>
      <w:divBdr>
        <w:top w:val="none" w:sz="0" w:space="0" w:color="auto"/>
        <w:left w:val="none" w:sz="0" w:space="0" w:color="auto"/>
        <w:bottom w:val="none" w:sz="0" w:space="0" w:color="auto"/>
        <w:right w:val="none" w:sz="0" w:space="0" w:color="auto"/>
      </w:divBdr>
    </w:div>
    <w:div w:id="1119029869">
      <w:bodyDiv w:val="1"/>
      <w:marLeft w:val="0"/>
      <w:marRight w:val="0"/>
      <w:marTop w:val="0"/>
      <w:marBottom w:val="0"/>
      <w:divBdr>
        <w:top w:val="none" w:sz="0" w:space="0" w:color="auto"/>
        <w:left w:val="none" w:sz="0" w:space="0" w:color="auto"/>
        <w:bottom w:val="none" w:sz="0" w:space="0" w:color="auto"/>
        <w:right w:val="none" w:sz="0" w:space="0" w:color="auto"/>
      </w:divBdr>
    </w:div>
    <w:div w:id="1133989048">
      <w:bodyDiv w:val="1"/>
      <w:marLeft w:val="0"/>
      <w:marRight w:val="0"/>
      <w:marTop w:val="0"/>
      <w:marBottom w:val="0"/>
      <w:divBdr>
        <w:top w:val="none" w:sz="0" w:space="0" w:color="auto"/>
        <w:left w:val="none" w:sz="0" w:space="0" w:color="auto"/>
        <w:bottom w:val="none" w:sz="0" w:space="0" w:color="auto"/>
        <w:right w:val="none" w:sz="0" w:space="0" w:color="auto"/>
      </w:divBdr>
    </w:div>
    <w:div w:id="1152410173">
      <w:bodyDiv w:val="1"/>
      <w:marLeft w:val="0"/>
      <w:marRight w:val="0"/>
      <w:marTop w:val="0"/>
      <w:marBottom w:val="0"/>
      <w:divBdr>
        <w:top w:val="none" w:sz="0" w:space="0" w:color="auto"/>
        <w:left w:val="none" w:sz="0" w:space="0" w:color="auto"/>
        <w:bottom w:val="none" w:sz="0" w:space="0" w:color="auto"/>
        <w:right w:val="none" w:sz="0" w:space="0" w:color="auto"/>
      </w:divBdr>
    </w:div>
    <w:div w:id="1152521088">
      <w:bodyDiv w:val="1"/>
      <w:marLeft w:val="0"/>
      <w:marRight w:val="0"/>
      <w:marTop w:val="0"/>
      <w:marBottom w:val="0"/>
      <w:divBdr>
        <w:top w:val="none" w:sz="0" w:space="0" w:color="auto"/>
        <w:left w:val="none" w:sz="0" w:space="0" w:color="auto"/>
        <w:bottom w:val="none" w:sz="0" w:space="0" w:color="auto"/>
        <w:right w:val="none" w:sz="0" w:space="0" w:color="auto"/>
      </w:divBdr>
    </w:div>
    <w:div w:id="1192453658">
      <w:bodyDiv w:val="1"/>
      <w:marLeft w:val="0"/>
      <w:marRight w:val="0"/>
      <w:marTop w:val="0"/>
      <w:marBottom w:val="0"/>
      <w:divBdr>
        <w:top w:val="none" w:sz="0" w:space="0" w:color="auto"/>
        <w:left w:val="none" w:sz="0" w:space="0" w:color="auto"/>
        <w:bottom w:val="none" w:sz="0" w:space="0" w:color="auto"/>
        <w:right w:val="none" w:sz="0" w:space="0" w:color="auto"/>
      </w:divBdr>
    </w:div>
    <w:div w:id="1196307432">
      <w:bodyDiv w:val="1"/>
      <w:marLeft w:val="0"/>
      <w:marRight w:val="0"/>
      <w:marTop w:val="0"/>
      <w:marBottom w:val="0"/>
      <w:divBdr>
        <w:top w:val="none" w:sz="0" w:space="0" w:color="auto"/>
        <w:left w:val="none" w:sz="0" w:space="0" w:color="auto"/>
        <w:bottom w:val="none" w:sz="0" w:space="0" w:color="auto"/>
        <w:right w:val="none" w:sz="0" w:space="0" w:color="auto"/>
      </w:divBdr>
    </w:div>
    <w:div w:id="1212378486">
      <w:bodyDiv w:val="1"/>
      <w:marLeft w:val="0"/>
      <w:marRight w:val="0"/>
      <w:marTop w:val="0"/>
      <w:marBottom w:val="0"/>
      <w:divBdr>
        <w:top w:val="none" w:sz="0" w:space="0" w:color="auto"/>
        <w:left w:val="none" w:sz="0" w:space="0" w:color="auto"/>
        <w:bottom w:val="none" w:sz="0" w:space="0" w:color="auto"/>
        <w:right w:val="none" w:sz="0" w:space="0" w:color="auto"/>
      </w:divBdr>
    </w:div>
    <w:div w:id="1239553434">
      <w:bodyDiv w:val="1"/>
      <w:marLeft w:val="0"/>
      <w:marRight w:val="0"/>
      <w:marTop w:val="0"/>
      <w:marBottom w:val="0"/>
      <w:divBdr>
        <w:top w:val="none" w:sz="0" w:space="0" w:color="auto"/>
        <w:left w:val="none" w:sz="0" w:space="0" w:color="auto"/>
        <w:bottom w:val="none" w:sz="0" w:space="0" w:color="auto"/>
        <w:right w:val="none" w:sz="0" w:space="0" w:color="auto"/>
      </w:divBdr>
    </w:div>
    <w:div w:id="1290018340">
      <w:bodyDiv w:val="1"/>
      <w:marLeft w:val="0"/>
      <w:marRight w:val="0"/>
      <w:marTop w:val="0"/>
      <w:marBottom w:val="0"/>
      <w:divBdr>
        <w:top w:val="none" w:sz="0" w:space="0" w:color="auto"/>
        <w:left w:val="none" w:sz="0" w:space="0" w:color="auto"/>
        <w:bottom w:val="none" w:sz="0" w:space="0" w:color="auto"/>
        <w:right w:val="none" w:sz="0" w:space="0" w:color="auto"/>
      </w:divBdr>
    </w:div>
    <w:div w:id="1325471502">
      <w:bodyDiv w:val="1"/>
      <w:marLeft w:val="0"/>
      <w:marRight w:val="0"/>
      <w:marTop w:val="0"/>
      <w:marBottom w:val="0"/>
      <w:divBdr>
        <w:top w:val="none" w:sz="0" w:space="0" w:color="auto"/>
        <w:left w:val="none" w:sz="0" w:space="0" w:color="auto"/>
        <w:bottom w:val="none" w:sz="0" w:space="0" w:color="auto"/>
        <w:right w:val="none" w:sz="0" w:space="0" w:color="auto"/>
      </w:divBdr>
    </w:div>
    <w:div w:id="1375083898">
      <w:bodyDiv w:val="1"/>
      <w:marLeft w:val="0"/>
      <w:marRight w:val="0"/>
      <w:marTop w:val="0"/>
      <w:marBottom w:val="0"/>
      <w:divBdr>
        <w:top w:val="none" w:sz="0" w:space="0" w:color="auto"/>
        <w:left w:val="none" w:sz="0" w:space="0" w:color="auto"/>
        <w:bottom w:val="none" w:sz="0" w:space="0" w:color="auto"/>
        <w:right w:val="none" w:sz="0" w:space="0" w:color="auto"/>
      </w:divBdr>
    </w:div>
    <w:div w:id="1381367885">
      <w:bodyDiv w:val="1"/>
      <w:marLeft w:val="0"/>
      <w:marRight w:val="0"/>
      <w:marTop w:val="0"/>
      <w:marBottom w:val="0"/>
      <w:divBdr>
        <w:top w:val="none" w:sz="0" w:space="0" w:color="auto"/>
        <w:left w:val="none" w:sz="0" w:space="0" w:color="auto"/>
        <w:bottom w:val="none" w:sz="0" w:space="0" w:color="auto"/>
        <w:right w:val="none" w:sz="0" w:space="0" w:color="auto"/>
      </w:divBdr>
    </w:div>
    <w:div w:id="1414204988">
      <w:bodyDiv w:val="1"/>
      <w:marLeft w:val="0"/>
      <w:marRight w:val="0"/>
      <w:marTop w:val="0"/>
      <w:marBottom w:val="0"/>
      <w:divBdr>
        <w:top w:val="none" w:sz="0" w:space="0" w:color="auto"/>
        <w:left w:val="none" w:sz="0" w:space="0" w:color="auto"/>
        <w:bottom w:val="none" w:sz="0" w:space="0" w:color="auto"/>
        <w:right w:val="none" w:sz="0" w:space="0" w:color="auto"/>
      </w:divBdr>
    </w:div>
    <w:div w:id="1473400728">
      <w:bodyDiv w:val="1"/>
      <w:marLeft w:val="0"/>
      <w:marRight w:val="0"/>
      <w:marTop w:val="0"/>
      <w:marBottom w:val="0"/>
      <w:divBdr>
        <w:top w:val="none" w:sz="0" w:space="0" w:color="auto"/>
        <w:left w:val="none" w:sz="0" w:space="0" w:color="auto"/>
        <w:bottom w:val="none" w:sz="0" w:space="0" w:color="auto"/>
        <w:right w:val="none" w:sz="0" w:space="0" w:color="auto"/>
      </w:divBdr>
    </w:div>
    <w:div w:id="1478842868">
      <w:bodyDiv w:val="1"/>
      <w:marLeft w:val="0"/>
      <w:marRight w:val="0"/>
      <w:marTop w:val="0"/>
      <w:marBottom w:val="0"/>
      <w:divBdr>
        <w:top w:val="none" w:sz="0" w:space="0" w:color="auto"/>
        <w:left w:val="none" w:sz="0" w:space="0" w:color="auto"/>
        <w:bottom w:val="none" w:sz="0" w:space="0" w:color="auto"/>
        <w:right w:val="none" w:sz="0" w:space="0" w:color="auto"/>
      </w:divBdr>
    </w:div>
    <w:div w:id="1479302700">
      <w:bodyDiv w:val="1"/>
      <w:marLeft w:val="0"/>
      <w:marRight w:val="0"/>
      <w:marTop w:val="0"/>
      <w:marBottom w:val="0"/>
      <w:divBdr>
        <w:top w:val="none" w:sz="0" w:space="0" w:color="auto"/>
        <w:left w:val="none" w:sz="0" w:space="0" w:color="auto"/>
        <w:bottom w:val="none" w:sz="0" w:space="0" w:color="auto"/>
        <w:right w:val="none" w:sz="0" w:space="0" w:color="auto"/>
      </w:divBdr>
    </w:div>
    <w:div w:id="1485850050">
      <w:bodyDiv w:val="1"/>
      <w:marLeft w:val="0"/>
      <w:marRight w:val="0"/>
      <w:marTop w:val="0"/>
      <w:marBottom w:val="0"/>
      <w:divBdr>
        <w:top w:val="none" w:sz="0" w:space="0" w:color="auto"/>
        <w:left w:val="none" w:sz="0" w:space="0" w:color="auto"/>
        <w:bottom w:val="none" w:sz="0" w:space="0" w:color="auto"/>
        <w:right w:val="none" w:sz="0" w:space="0" w:color="auto"/>
      </w:divBdr>
    </w:div>
    <w:div w:id="1486315278">
      <w:bodyDiv w:val="1"/>
      <w:marLeft w:val="0"/>
      <w:marRight w:val="0"/>
      <w:marTop w:val="0"/>
      <w:marBottom w:val="0"/>
      <w:divBdr>
        <w:top w:val="none" w:sz="0" w:space="0" w:color="auto"/>
        <w:left w:val="none" w:sz="0" w:space="0" w:color="auto"/>
        <w:bottom w:val="none" w:sz="0" w:space="0" w:color="auto"/>
        <w:right w:val="none" w:sz="0" w:space="0" w:color="auto"/>
      </w:divBdr>
    </w:div>
    <w:div w:id="1506365100">
      <w:bodyDiv w:val="1"/>
      <w:marLeft w:val="0"/>
      <w:marRight w:val="0"/>
      <w:marTop w:val="0"/>
      <w:marBottom w:val="0"/>
      <w:divBdr>
        <w:top w:val="none" w:sz="0" w:space="0" w:color="auto"/>
        <w:left w:val="none" w:sz="0" w:space="0" w:color="auto"/>
        <w:bottom w:val="none" w:sz="0" w:space="0" w:color="auto"/>
        <w:right w:val="none" w:sz="0" w:space="0" w:color="auto"/>
      </w:divBdr>
    </w:div>
    <w:div w:id="1510868197">
      <w:bodyDiv w:val="1"/>
      <w:marLeft w:val="0"/>
      <w:marRight w:val="0"/>
      <w:marTop w:val="0"/>
      <w:marBottom w:val="0"/>
      <w:divBdr>
        <w:top w:val="none" w:sz="0" w:space="0" w:color="auto"/>
        <w:left w:val="none" w:sz="0" w:space="0" w:color="auto"/>
        <w:bottom w:val="none" w:sz="0" w:space="0" w:color="auto"/>
        <w:right w:val="none" w:sz="0" w:space="0" w:color="auto"/>
      </w:divBdr>
    </w:div>
    <w:div w:id="1513378942">
      <w:bodyDiv w:val="1"/>
      <w:marLeft w:val="0"/>
      <w:marRight w:val="0"/>
      <w:marTop w:val="0"/>
      <w:marBottom w:val="0"/>
      <w:divBdr>
        <w:top w:val="none" w:sz="0" w:space="0" w:color="auto"/>
        <w:left w:val="none" w:sz="0" w:space="0" w:color="auto"/>
        <w:bottom w:val="none" w:sz="0" w:space="0" w:color="auto"/>
        <w:right w:val="none" w:sz="0" w:space="0" w:color="auto"/>
      </w:divBdr>
    </w:div>
    <w:div w:id="1515337921">
      <w:bodyDiv w:val="1"/>
      <w:marLeft w:val="0"/>
      <w:marRight w:val="0"/>
      <w:marTop w:val="0"/>
      <w:marBottom w:val="0"/>
      <w:divBdr>
        <w:top w:val="none" w:sz="0" w:space="0" w:color="auto"/>
        <w:left w:val="none" w:sz="0" w:space="0" w:color="auto"/>
        <w:bottom w:val="none" w:sz="0" w:space="0" w:color="auto"/>
        <w:right w:val="none" w:sz="0" w:space="0" w:color="auto"/>
      </w:divBdr>
    </w:div>
    <w:div w:id="1534462394">
      <w:bodyDiv w:val="1"/>
      <w:marLeft w:val="0"/>
      <w:marRight w:val="0"/>
      <w:marTop w:val="0"/>
      <w:marBottom w:val="0"/>
      <w:divBdr>
        <w:top w:val="none" w:sz="0" w:space="0" w:color="auto"/>
        <w:left w:val="none" w:sz="0" w:space="0" w:color="auto"/>
        <w:bottom w:val="none" w:sz="0" w:space="0" w:color="auto"/>
        <w:right w:val="none" w:sz="0" w:space="0" w:color="auto"/>
      </w:divBdr>
    </w:div>
    <w:div w:id="1599361846">
      <w:bodyDiv w:val="1"/>
      <w:marLeft w:val="0"/>
      <w:marRight w:val="0"/>
      <w:marTop w:val="0"/>
      <w:marBottom w:val="0"/>
      <w:divBdr>
        <w:top w:val="none" w:sz="0" w:space="0" w:color="auto"/>
        <w:left w:val="none" w:sz="0" w:space="0" w:color="auto"/>
        <w:bottom w:val="none" w:sz="0" w:space="0" w:color="auto"/>
        <w:right w:val="none" w:sz="0" w:space="0" w:color="auto"/>
      </w:divBdr>
    </w:div>
    <w:div w:id="1615017673">
      <w:bodyDiv w:val="1"/>
      <w:marLeft w:val="0"/>
      <w:marRight w:val="0"/>
      <w:marTop w:val="0"/>
      <w:marBottom w:val="0"/>
      <w:divBdr>
        <w:top w:val="none" w:sz="0" w:space="0" w:color="auto"/>
        <w:left w:val="none" w:sz="0" w:space="0" w:color="auto"/>
        <w:bottom w:val="none" w:sz="0" w:space="0" w:color="auto"/>
        <w:right w:val="none" w:sz="0" w:space="0" w:color="auto"/>
      </w:divBdr>
    </w:div>
    <w:div w:id="1642686815">
      <w:bodyDiv w:val="1"/>
      <w:marLeft w:val="0"/>
      <w:marRight w:val="0"/>
      <w:marTop w:val="0"/>
      <w:marBottom w:val="0"/>
      <w:divBdr>
        <w:top w:val="none" w:sz="0" w:space="0" w:color="auto"/>
        <w:left w:val="none" w:sz="0" w:space="0" w:color="auto"/>
        <w:bottom w:val="none" w:sz="0" w:space="0" w:color="auto"/>
        <w:right w:val="none" w:sz="0" w:space="0" w:color="auto"/>
      </w:divBdr>
    </w:div>
    <w:div w:id="1683388790">
      <w:bodyDiv w:val="1"/>
      <w:marLeft w:val="0"/>
      <w:marRight w:val="0"/>
      <w:marTop w:val="0"/>
      <w:marBottom w:val="0"/>
      <w:divBdr>
        <w:top w:val="none" w:sz="0" w:space="0" w:color="auto"/>
        <w:left w:val="none" w:sz="0" w:space="0" w:color="auto"/>
        <w:bottom w:val="none" w:sz="0" w:space="0" w:color="auto"/>
        <w:right w:val="none" w:sz="0" w:space="0" w:color="auto"/>
      </w:divBdr>
      <w:divsChild>
        <w:div w:id="1355307023">
          <w:marLeft w:val="0"/>
          <w:marRight w:val="0"/>
          <w:marTop w:val="0"/>
          <w:marBottom w:val="0"/>
          <w:divBdr>
            <w:top w:val="none" w:sz="0" w:space="0" w:color="auto"/>
            <w:left w:val="none" w:sz="0" w:space="0" w:color="auto"/>
            <w:bottom w:val="none" w:sz="0" w:space="0" w:color="auto"/>
            <w:right w:val="none" w:sz="0" w:space="0" w:color="auto"/>
          </w:divBdr>
        </w:div>
      </w:divsChild>
    </w:div>
    <w:div w:id="1690177315">
      <w:bodyDiv w:val="1"/>
      <w:marLeft w:val="0"/>
      <w:marRight w:val="0"/>
      <w:marTop w:val="0"/>
      <w:marBottom w:val="0"/>
      <w:divBdr>
        <w:top w:val="none" w:sz="0" w:space="0" w:color="auto"/>
        <w:left w:val="none" w:sz="0" w:space="0" w:color="auto"/>
        <w:bottom w:val="none" w:sz="0" w:space="0" w:color="auto"/>
        <w:right w:val="none" w:sz="0" w:space="0" w:color="auto"/>
      </w:divBdr>
    </w:div>
    <w:div w:id="1697149882">
      <w:bodyDiv w:val="1"/>
      <w:marLeft w:val="0"/>
      <w:marRight w:val="0"/>
      <w:marTop w:val="0"/>
      <w:marBottom w:val="0"/>
      <w:divBdr>
        <w:top w:val="none" w:sz="0" w:space="0" w:color="auto"/>
        <w:left w:val="none" w:sz="0" w:space="0" w:color="auto"/>
        <w:bottom w:val="none" w:sz="0" w:space="0" w:color="auto"/>
        <w:right w:val="none" w:sz="0" w:space="0" w:color="auto"/>
      </w:divBdr>
      <w:divsChild>
        <w:div w:id="871958701">
          <w:marLeft w:val="0"/>
          <w:marRight w:val="0"/>
          <w:marTop w:val="0"/>
          <w:marBottom w:val="0"/>
          <w:divBdr>
            <w:top w:val="none" w:sz="0" w:space="0" w:color="auto"/>
            <w:left w:val="none" w:sz="0" w:space="0" w:color="auto"/>
            <w:bottom w:val="none" w:sz="0" w:space="0" w:color="auto"/>
            <w:right w:val="none" w:sz="0" w:space="0" w:color="auto"/>
          </w:divBdr>
        </w:div>
      </w:divsChild>
    </w:div>
    <w:div w:id="1718165676">
      <w:bodyDiv w:val="1"/>
      <w:marLeft w:val="0"/>
      <w:marRight w:val="0"/>
      <w:marTop w:val="0"/>
      <w:marBottom w:val="0"/>
      <w:divBdr>
        <w:top w:val="none" w:sz="0" w:space="0" w:color="auto"/>
        <w:left w:val="none" w:sz="0" w:space="0" w:color="auto"/>
        <w:bottom w:val="none" w:sz="0" w:space="0" w:color="auto"/>
        <w:right w:val="none" w:sz="0" w:space="0" w:color="auto"/>
      </w:divBdr>
    </w:div>
    <w:div w:id="1722944185">
      <w:bodyDiv w:val="1"/>
      <w:marLeft w:val="0"/>
      <w:marRight w:val="0"/>
      <w:marTop w:val="0"/>
      <w:marBottom w:val="0"/>
      <w:divBdr>
        <w:top w:val="none" w:sz="0" w:space="0" w:color="auto"/>
        <w:left w:val="none" w:sz="0" w:space="0" w:color="auto"/>
        <w:bottom w:val="none" w:sz="0" w:space="0" w:color="auto"/>
        <w:right w:val="none" w:sz="0" w:space="0" w:color="auto"/>
      </w:divBdr>
    </w:div>
    <w:div w:id="1757285599">
      <w:bodyDiv w:val="1"/>
      <w:marLeft w:val="0"/>
      <w:marRight w:val="0"/>
      <w:marTop w:val="0"/>
      <w:marBottom w:val="0"/>
      <w:divBdr>
        <w:top w:val="none" w:sz="0" w:space="0" w:color="auto"/>
        <w:left w:val="none" w:sz="0" w:space="0" w:color="auto"/>
        <w:bottom w:val="none" w:sz="0" w:space="0" w:color="auto"/>
        <w:right w:val="none" w:sz="0" w:space="0" w:color="auto"/>
      </w:divBdr>
    </w:div>
    <w:div w:id="1785729733">
      <w:bodyDiv w:val="1"/>
      <w:marLeft w:val="0"/>
      <w:marRight w:val="0"/>
      <w:marTop w:val="0"/>
      <w:marBottom w:val="0"/>
      <w:divBdr>
        <w:top w:val="none" w:sz="0" w:space="0" w:color="auto"/>
        <w:left w:val="none" w:sz="0" w:space="0" w:color="auto"/>
        <w:bottom w:val="none" w:sz="0" w:space="0" w:color="auto"/>
        <w:right w:val="none" w:sz="0" w:space="0" w:color="auto"/>
      </w:divBdr>
    </w:div>
    <w:div w:id="1788503568">
      <w:bodyDiv w:val="1"/>
      <w:marLeft w:val="0"/>
      <w:marRight w:val="0"/>
      <w:marTop w:val="0"/>
      <w:marBottom w:val="0"/>
      <w:divBdr>
        <w:top w:val="none" w:sz="0" w:space="0" w:color="auto"/>
        <w:left w:val="none" w:sz="0" w:space="0" w:color="auto"/>
        <w:bottom w:val="none" w:sz="0" w:space="0" w:color="auto"/>
        <w:right w:val="none" w:sz="0" w:space="0" w:color="auto"/>
      </w:divBdr>
    </w:div>
    <w:div w:id="1808427046">
      <w:bodyDiv w:val="1"/>
      <w:marLeft w:val="0"/>
      <w:marRight w:val="0"/>
      <w:marTop w:val="0"/>
      <w:marBottom w:val="0"/>
      <w:divBdr>
        <w:top w:val="none" w:sz="0" w:space="0" w:color="auto"/>
        <w:left w:val="none" w:sz="0" w:space="0" w:color="auto"/>
        <w:bottom w:val="none" w:sz="0" w:space="0" w:color="auto"/>
        <w:right w:val="none" w:sz="0" w:space="0" w:color="auto"/>
      </w:divBdr>
    </w:div>
    <w:div w:id="1823427155">
      <w:bodyDiv w:val="1"/>
      <w:marLeft w:val="0"/>
      <w:marRight w:val="0"/>
      <w:marTop w:val="0"/>
      <w:marBottom w:val="0"/>
      <w:divBdr>
        <w:top w:val="none" w:sz="0" w:space="0" w:color="auto"/>
        <w:left w:val="none" w:sz="0" w:space="0" w:color="auto"/>
        <w:bottom w:val="none" w:sz="0" w:space="0" w:color="auto"/>
        <w:right w:val="none" w:sz="0" w:space="0" w:color="auto"/>
      </w:divBdr>
    </w:div>
    <w:div w:id="1848978124">
      <w:bodyDiv w:val="1"/>
      <w:marLeft w:val="0"/>
      <w:marRight w:val="0"/>
      <w:marTop w:val="0"/>
      <w:marBottom w:val="0"/>
      <w:divBdr>
        <w:top w:val="none" w:sz="0" w:space="0" w:color="auto"/>
        <w:left w:val="none" w:sz="0" w:space="0" w:color="auto"/>
        <w:bottom w:val="none" w:sz="0" w:space="0" w:color="auto"/>
        <w:right w:val="none" w:sz="0" w:space="0" w:color="auto"/>
      </w:divBdr>
    </w:div>
    <w:div w:id="1850945511">
      <w:bodyDiv w:val="1"/>
      <w:marLeft w:val="0"/>
      <w:marRight w:val="0"/>
      <w:marTop w:val="0"/>
      <w:marBottom w:val="0"/>
      <w:divBdr>
        <w:top w:val="none" w:sz="0" w:space="0" w:color="auto"/>
        <w:left w:val="none" w:sz="0" w:space="0" w:color="auto"/>
        <w:bottom w:val="none" w:sz="0" w:space="0" w:color="auto"/>
        <w:right w:val="none" w:sz="0" w:space="0" w:color="auto"/>
      </w:divBdr>
    </w:div>
    <w:div w:id="1886214812">
      <w:bodyDiv w:val="1"/>
      <w:marLeft w:val="0"/>
      <w:marRight w:val="0"/>
      <w:marTop w:val="0"/>
      <w:marBottom w:val="0"/>
      <w:divBdr>
        <w:top w:val="none" w:sz="0" w:space="0" w:color="auto"/>
        <w:left w:val="none" w:sz="0" w:space="0" w:color="auto"/>
        <w:bottom w:val="none" w:sz="0" w:space="0" w:color="auto"/>
        <w:right w:val="none" w:sz="0" w:space="0" w:color="auto"/>
      </w:divBdr>
      <w:divsChild>
        <w:div w:id="2144231000">
          <w:marLeft w:val="0"/>
          <w:marRight w:val="0"/>
          <w:marTop w:val="0"/>
          <w:marBottom w:val="0"/>
          <w:divBdr>
            <w:top w:val="none" w:sz="0" w:space="0" w:color="auto"/>
            <w:left w:val="none" w:sz="0" w:space="0" w:color="auto"/>
            <w:bottom w:val="none" w:sz="0" w:space="0" w:color="auto"/>
            <w:right w:val="none" w:sz="0" w:space="0" w:color="auto"/>
          </w:divBdr>
        </w:div>
      </w:divsChild>
    </w:div>
    <w:div w:id="1894999866">
      <w:bodyDiv w:val="1"/>
      <w:marLeft w:val="0"/>
      <w:marRight w:val="0"/>
      <w:marTop w:val="0"/>
      <w:marBottom w:val="0"/>
      <w:divBdr>
        <w:top w:val="none" w:sz="0" w:space="0" w:color="auto"/>
        <w:left w:val="none" w:sz="0" w:space="0" w:color="auto"/>
        <w:bottom w:val="none" w:sz="0" w:space="0" w:color="auto"/>
        <w:right w:val="none" w:sz="0" w:space="0" w:color="auto"/>
      </w:divBdr>
    </w:div>
    <w:div w:id="1898978362">
      <w:bodyDiv w:val="1"/>
      <w:marLeft w:val="0"/>
      <w:marRight w:val="0"/>
      <w:marTop w:val="0"/>
      <w:marBottom w:val="0"/>
      <w:divBdr>
        <w:top w:val="none" w:sz="0" w:space="0" w:color="auto"/>
        <w:left w:val="none" w:sz="0" w:space="0" w:color="auto"/>
        <w:bottom w:val="none" w:sz="0" w:space="0" w:color="auto"/>
        <w:right w:val="none" w:sz="0" w:space="0" w:color="auto"/>
      </w:divBdr>
    </w:div>
    <w:div w:id="1925918350">
      <w:bodyDiv w:val="1"/>
      <w:marLeft w:val="0"/>
      <w:marRight w:val="0"/>
      <w:marTop w:val="0"/>
      <w:marBottom w:val="0"/>
      <w:divBdr>
        <w:top w:val="none" w:sz="0" w:space="0" w:color="auto"/>
        <w:left w:val="none" w:sz="0" w:space="0" w:color="auto"/>
        <w:bottom w:val="none" w:sz="0" w:space="0" w:color="auto"/>
        <w:right w:val="none" w:sz="0" w:space="0" w:color="auto"/>
      </w:divBdr>
    </w:div>
    <w:div w:id="1927153108">
      <w:bodyDiv w:val="1"/>
      <w:marLeft w:val="0"/>
      <w:marRight w:val="0"/>
      <w:marTop w:val="0"/>
      <w:marBottom w:val="0"/>
      <w:divBdr>
        <w:top w:val="none" w:sz="0" w:space="0" w:color="auto"/>
        <w:left w:val="none" w:sz="0" w:space="0" w:color="auto"/>
        <w:bottom w:val="none" w:sz="0" w:space="0" w:color="auto"/>
        <w:right w:val="none" w:sz="0" w:space="0" w:color="auto"/>
      </w:divBdr>
    </w:div>
    <w:div w:id="1936858753">
      <w:bodyDiv w:val="1"/>
      <w:marLeft w:val="0"/>
      <w:marRight w:val="0"/>
      <w:marTop w:val="0"/>
      <w:marBottom w:val="0"/>
      <w:divBdr>
        <w:top w:val="none" w:sz="0" w:space="0" w:color="auto"/>
        <w:left w:val="none" w:sz="0" w:space="0" w:color="auto"/>
        <w:bottom w:val="none" w:sz="0" w:space="0" w:color="auto"/>
        <w:right w:val="none" w:sz="0" w:space="0" w:color="auto"/>
      </w:divBdr>
    </w:div>
    <w:div w:id="1977681446">
      <w:bodyDiv w:val="1"/>
      <w:marLeft w:val="0"/>
      <w:marRight w:val="0"/>
      <w:marTop w:val="0"/>
      <w:marBottom w:val="0"/>
      <w:divBdr>
        <w:top w:val="none" w:sz="0" w:space="0" w:color="auto"/>
        <w:left w:val="none" w:sz="0" w:space="0" w:color="auto"/>
        <w:bottom w:val="none" w:sz="0" w:space="0" w:color="auto"/>
        <w:right w:val="none" w:sz="0" w:space="0" w:color="auto"/>
      </w:divBdr>
    </w:div>
    <w:div w:id="2018771180">
      <w:bodyDiv w:val="1"/>
      <w:marLeft w:val="0"/>
      <w:marRight w:val="0"/>
      <w:marTop w:val="0"/>
      <w:marBottom w:val="0"/>
      <w:divBdr>
        <w:top w:val="none" w:sz="0" w:space="0" w:color="auto"/>
        <w:left w:val="none" w:sz="0" w:space="0" w:color="auto"/>
        <w:bottom w:val="none" w:sz="0" w:space="0" w:color="auto"/>
        <w:right w:val="none" w:sz="0" w:space="0" w:color="auto"/>
      </w:divBdr>
    </w:div>
    <w:div w:id="2034185931">
      <w:bodyDiv w:val="1"/>
      <w:marLeft w:val="0"/>
      <w:marRight w:val="0"/>
      <w:marTop w:val="0"/>
      <w:marBottom w:val="0"/>
      <w:divBdr>
        <w:top w:val="none" w:sz="0" w:space="0" w:color="auto"/>
        <w:left w:val="none" w:sz="0" w:space="0" w:color="auto"/>
        <w:bottom w:val="none" w:sz="0" w:space="0" w:color="auto"/>
        <w:right w:val="none" w:sz="0" w:space="0" w:color="auto"/>
      </w:divBdr>
    </w:div>
    <w:div w:id="2057312994">
      <w:bodyDiv w:val="1"/>
      <w:marLeft w:val="0"/>
      <w:marRight w:val="0"/>
      <w:marTop w:val="0"/>
      <w:marBottom w:val="0"/>
      <w:divBdr>
        <w:top w:val="none" w:sz="0" w:space="0" w:color="auto"/>
        <w:left w:val="none" w:sz="0" w:space="0" w:color="auto"/>
        <w:bottom w:val="none" w:sz="0" w:space="0" w:color="auto"/>
        <w:right w:val="none" w:sz="0" w:space="0" w:color="auto"/>
      </w:divBdr>
    </w:div>
    <w:div w:id="2088457707">
      <w:bodyDiv w:val="1"/>
      <w:marLeft w:val="0"/>
      <w:marRight w:val="0"/>
      <w:marTop w:val="0"/>
      <w:marBottom w:val="0"/>
      <w:divBdr>
        <w:top w:val="none" w:sz="0" w:space="0" w:color="auto"/>
        <w:left w:val="none" w:sz="0" w:space="0" w:color="auto"/>
        <w:bottom w:val="none" w:sz="0" w:space="0" w:color="auto"/>
        <w:right w:val="none" w:sz="0" w:space="0" w:color="auto"/>
      </w:divBdr>
    </w:div>
    <w:div w:id="2130931937">
      <w:bodyDiv w:val="1"/>
      <w:marLeft w:val="0"/>
      <w:marRight w:val="0"/>
      <w:marTop w:val="0"/>
      <w:marBottom w:val="0"/>
      <w:divBdr>
        <w:top w:val="none" w:sz="0" w:space="0" w:color="auto"/>
        <w:left w:val="none" w:sz="0" w:space="0" w:color="auto"/>
        <w:bottom w:val="none" w:sz="0" w:space="0" w:color="auto"/>
        <w:right w:val="none" w:sz="0" w:space="0" w:color="auto"/>
      </w:divBdr>
    </w:div>
    <w:div w:id="213105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comments" Target="comments.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microsoft.com/office/2011/relationships/people" Target="people.xml"/><Relationship Id="rId10" Type="http://schemas.openxmlformats.org/officeDocument/2006/relationships/image" Target="media/image3.pn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4061</Words>
  <Characters>23151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Mayank Tadepalli</cp:lastModifiedBy>
  <cp:revision>2</cp:revision>
  <cp:lastPrinted>2025-07-27T17:28:00Z</cp:lastPrinted>
  <dcterms:created xsi:type="dcterms:W3CDTF">2025-10-12T07:33:00Z</dcterms:created>
  <dcterms:modified xsi:type="dcterms:W3CDTF">2025-10-12T07:33:00Z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d1a29f4e-db96-47b1-b74d-f32a64a6b236</vt:lpwstr>
  </property>
</Properties>
</file>