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00000"/>
          <w:sz w:val="30"/>
        </w:rPr>
        <w:t>Deanchoring Contextual Inertia in Large Language Models:</w:t>
        <w:br/>
        <w:t>A Two-Stage Semantic Decoupling Architecture for</w:t>
        <w:br/>
        <w:t>Unconstrained Code and Interface Synthesis</w:t>
      </w:r>
    </w:p>
    <w:p>
      <w:pPr>
        <w:spacing w:after="60"/>
        <w:jc w:val="center"/>
      </w:pPr>
      <w:r>
        <w:rPr>
          <w:rFonts w:ascii="Times New Roman" w:hAnsi="Times New Roman"/>
          <w:sz w:val="20"/>
        </w:rPr>
        <w:t>Muhammad Maroof</w:t>
        <w:br/>
        <w:t>Department of Computer Science, University of Education, Township Campus, Lahore, Pakistan</w:t>
      </w:r>
    </w:p>
    <w:p>
      <w:pPr>
        <w:spacing w:after="240"/>
        <w:jc w:val="center"/>
      </w:pPr>
      <w:r>
        <w:rPr>
          <w:rFonts w:ascii="Times New Roman" w:hAnsi="Times New Roman"/>
          <w:i/>
          <w:sz w:val="19"/>
        </w:rPr>
        <w:t>Hardware Benchmark: NVIDIA GeForce RTX 3080 Tensor Core GPU (10GB VRAM + 32GB RAM)</w:t>
      </w:r>
    </w:p>
    <w:p>
      <w:pPr>
        <w:spacing w:before="120" w:after="80"/>
      </w:pPr>
      <w:r>
        <w:rPr>
          <w:rFonts w:ascii="Times New Roman" w:hAnsi="Times New Roman"/>
          <w:b/>
          <w:sz w:val="20"/>
        </w:rPr>
        <w:t>ABSTRACT</w:t>
      </w:r>
    </w:p>
    <w:p>
      <w:pPr>
        <w:spacing w:before="0" w:after="120" w:line="276" w:lineRule="auto"/>
        <w:jc w:val="both"/>
      </w:pPr>
      <w:r>
        <w:rPr>
          <w:rFonts w:ascii="Times New Roman" w:hAnsi="Times New Roman"/>
          <w:sz w:val="20"/>
        </w:rPr>
        <w:t>When instruction-tuned Large Language Models (LLMs) are tasked with redesigning, refactoring, or optimizing existing software and user interface codebases, they suffer from severe Contextual Anchoring Bias—an intrinsic attention failure where self-attention heads allocate disproportionate probability mass to legacy syntactic and visual tokens in the prompt prefix. Consequently, state-of-the-art models frequently produce trivial aesthetic mutations (e.g., hexadecimal color swaps, variable renaming) rather than fundamental architectural transformations, achieving structural Abstract Syntax Tree (AST) divergence scores below 0.02 under standard zero-shot prompting. In this paper, we formalize the Contextual Anchoring Hypothesis by decomposing code entropy into functional domain requirements H(D) and presentation topology H(T | D). We propose the Two-Stage Deanchoring Decoupling Protocol, which strictly eliminates legacy layout tokens from the generative context by compressing raw code into an intermediate semantic entity-action YAML contract (Stage 1) before synthesizing clean-slate implementations (Stage 2). To evaluate this framework, we conduct rigorous hardware-accelerated empirical benchmarks across 8 local edge foundation models on an NVIDIA RTX 3080 GPU (augmented with system RAM offloading) and 8 remote cloud frontier flagship models over APIs, spanning synthetic components, a 1,465-line enterprise SecOps command center, and complete full-stack production repositories. Our experimental results prove that Two-Stage Decoupling achieves near-perfect unanchored synthesis (0.80–1.00 AST divergence) while filtering 53.1% to 100.0% of presentation noise, outperforming base zero-shot baselines by over 50x. Finally, we present the production-ready deanchor CLI engine, enabling automated, sub-15-second blank-slate code synthesis.</w:t>
      </w:r>
    </w:p>
    <w:p>
      <w:pPr>
        <w:spacing w:after="240"/>
      </w:pPr>
      <w:r>
        <w:rPr>
          <w:rFonts w:ascii="Times New Roman" w:hAnsi="Times New Roman"/>
          <w:b/>
          <w:sz w:val="20"/>
        </w:rPr>
        <w:t xml:space="preserve">Keywords: </w:t>
      </w:r>
      <w:r>
        <w:rPr>
          <w:rFonts w:ascii="Times New Roman" w:hAnsi="Times New Roman"/>
          <w:sz w:val="20"/>
        </w:rPr>
        <w:t>Large Language Models, Contextual Anchoring, Attention Sinks, Code Generation, Two-Stage Decoupling, Abstract Syntax Tree Divergence, Sliding Window Attention.</w:t>
      </w:r>
    </w:p>
    <w:p>
      <w:pPr>
        <w:keepNext/>
        <w:spacing w:before="240" w:after="80"/>
      </w:pPr>
      <w:r>
        <w:rPr>
          <w:rFonts w:ascii="Times New Roman" w:hAnsi="Times New Roman"/>
          <w:b/>
          <w:sz w:val="24"/>
        </w:rPr>
        <w:t>1. Introduction</w:t>
      </w:r>
    </w:p>
    <w:p>
      <w:pPr>
        <w:spacing w:before="0" w:after="120" w:line="276" w:lineRule="auto"/>
        <w:jc w:val="both"/>
      </w:pPr>
      <w:r>
        <w:rPr>
          <w:rFonts w:ascii="Times New Roman" w:hAnsi="Times New Roman"/>
          <w:sz w:val="20"/>
        </w:rPr>
        <w:t>Large Language Models (LLMs) have fundamentally transformed automated software engineering, algorithmic synthesis, and interface generation (Vaswani et al., 2017; Chen et al., 2021). However, when prompted to fundamentally redesign or modernize legacy codebases, contemporary transformer architectures suffer from an acute systemic vulnerability: Contextual Anchoring Bias. When an LLM is provided with a complete source file and instructed to 'rewrite this from scratch' or 'create a modern blank-slate redesign', the dense auto-regressive attention heads over-index on the existing DOM tree, CSS classes, variable declarations, and loop hierarchies (Xiao et al., 2024; Liu et al., 2023).</w:t>
      </w:r>
    </w:p>
    <w:p>
      <w:pPr>
        <w:spacing w:before="0" w:after="120" w:line="276" w:lineRule="auto"/>
        <w:jc w:val="both"/>
      </w:pPr>
      <w:r>
        <w:rPr>
          <w:rFonts w:ascii="Times New Roman" w:hAnsi="Times New Roman"/>
          <w:sz w:val="20"/>
        </w:rPr>
        <w:t>Rather than conceptualizing a novel, ergonomic architecture tailored to the underlying business domain, the LLM acts as an incremental patcher, retaining 220px fixed sidebars, 3-column card grids, and nested linear scans while merely modifying superficial aesthetic properties (such as color hex codes). In this work, we demonstrate that this failure arises from the attention dynamics of sequence conditioning.</w:t>
      </w:r>
    </w:p>
    <w:p>
      <w:pPr>
        <w:spacing w:before="160" w:after="80"/>
        <w:jc w:val="center"/>
      </w:pPr>
      <w:r>
        <w:drawing>
          <wp:inline xmlns:a="http://schemas.openxmlformats.org/drawingml/2006/main" xmlns:pic="http://schemas.openxmlformats.org/drawingml/2006/picture">
            <wp:extent cx="5669280" cy="266031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669280" cy="2660311"/>
                    </a:xfrm>
                    <a:prstGeom prst="rect"/>
                  </pic:spPr>
                </pic:pic>
              </a:graphicData>
            </a:graphic>
          </wp:inline>
        </w:drawing>
      </w:r>
    </w:p>
    <w:p>
      <w:pPr>
        <w:spacing w:before="40" w:after="200"/>
        <w:jc w:val="center"/>
      </w:pPr>
      <w:r>
        <w:rPr>
          <w:rFonts w:ascii="Times New Roman" w:hAnsi="Times New Roman"/>
          <w:i/>
          <w:sz w:val="18"/>
        </w:rPr>
        <w:t>Figure 1: Architectural comparison between standard direct code conditioning (Condition D) which triggers the Attention Sink phenomenon, and the proposed Two-Stage Decoupled Protocol (Condition E) which enforces zero mutual presentation information (I(TY; TX | S) = 0).</w:t>
      </w:r>
    </w:p>
    <w:p>
      <w:pPr>
        <w:spacing w:before="0" w:after="80" w:line="276" w:lineRule="auto"/>
        <w:jc w:val="both"/>
      </w:pPr>
      <w:r>
        <w:rPr>
          <w:rFonts w:ascii="Times New Roman" w:hAnsi="Times New Roman"/>
          <w:sz w:val="20"/>
        </w:rPr>
        <w:t>This paper makes the following primary contributions:</w:t>
      </w:r>
    </w:p>
    <w:p>
      <w:pPr>
        <w:spacing w:before="0" w:after="60" w:line="276" w:lineRule="auto"/>
        <w:jc w:val="both"/>
      </w:pPr>
      <w:r>
        <w:rPr>
          <w:rFonts w:ascii="Times New Roman" w:hAnsi="Times New Roman"/>
          <w:sz w:val="20"/>
        </w:rPr>
        <w:t>1. Empirical Hypothesis &amp; Theoretical Rationale: We formulate the Contextual Anchoring Hypothesis using Shannon entropy and attention allocation dynamics, demonstrating why direct code conditioning leads to topological collapse.</w:t>
      </w:r>
    </w:p>
    <w:p>
      <w:pPr>
        <w:spacing w:before="0" w:after="60" w:line="276" w:lineRule="auto"/>
        <w:jc w:val="both"/>
      </w:pPr>
      <w:r>
        <w:rPr>
          <w:rFonts w:ascii="Times New Roman" w:hAnsi="Times New Roman"/>
          <w:sz w:val="20"/>
        </w:rPr>
        <w:t>2. Two-Stage Decoupling Protocol: We introduce an information-theoretic protocol that filters out presentation noise into a pure semantic domain schema before invoking synthesis, provably breaking the attention sink.</w:t>
      </w:r>
    </w:p>
    <w:p>
      <w:pPr>
        <w:spacing w:before="0" w:after="60" w:line="276" w:lineRule="auto"/>
        <w:jc w:val="both"/>
      </w:pPr>
      <w:r>
        <w:rPr>
          <w:rFonts w:ascii="Times New Roman" w:hAnsi="Times New Roman"/>
          <w:sz w:val="20"/>
        </w:rPr>
        <w:t>3. Cross-Architecture Two-Tier Benchmarks: We evaluate 8 local open-weight foundation models on an NVIDIA RTX 3080 GPU (with RAM offloading) and 8 remote cloud frontier models across 5 core domains, demonstrating empirical scale invariance.</w:t>
      </w:r>
    </w:p>
    <w:p>
      <w:pPr>
        <w:spacing w:before="0" w:after="200" w:line="276" w:lineRule="auto"/>
        <w:jc w:val="both"/>
      </w:pPr>
      <w:r>
        <w:rPr>
          <w:rFonts w:ascii="Times New Roman" w:hAnsi="Times New Roman"/>
          <w:sz w:val="20"/>
        </w:rPr>
        <w:t>4. Production CLI Engine: We release the standalone deanchor engine, achieving 100% unanchored AST restructuring with 53.1%–100% token noise filtering in sub-15-second inference cycles.</w:t>
      </w:r>
    </w:p>
    <w:p>
      <w:pPr>
        <w:keepNext/>
        <w:spacing w:before="240" w:after="80"/>
      </w:pPr>
      <w:r>
        <w:rPr>
          <w:rFonts w:ascii="Times New Roman" w:hAnsi="Times New Roman"/>
          <w:b/>
          <w:sz w:val="24"/>
        </w:rPr>
        <w:t>2. Related Work</w:t>
      </w:r>
    </w:p>
    <w:p>
      <w:pPr>
        <w:keepNext/>
        <w:spacing w:before="240" w:after="80"/>
      </w:pPr>
      <w:r>
        <w:rPr>
          <w:rFonts w:ascii="Times New Roman" w:hAnsi="Times New Roman"/>
          <w:b/>
          <w:sz w:val="22"/>
        </w:rPr>
        <w:t>2.1 Code Generation and Autonomous Refactoring with LLMs</w:t>
      </w:r>
    </w:p>
    <w:p>
      <w:pPr>
        <w:spacing w:before="0" w:after="120" w:line="276" w:lineRule="auto"/>
        <w:jc w:val="both"/>
      </w:pPr>
      <w:r>
        <w:rPr>
          <w:rFonts w:ascii="Times New Roman" w:hAnsi="Times New Roman"/>
          <w:sz w:val="20"/>
        </w:rPr>
        <w:t>The application of Large Language Models to automated software engineering has accelerated rapidly following foundational transformer architectures (Vaswani et al., 2017; Brown et al., 2020). Early code-centric benchmarks such as HumanEval (Chen et al., 2021), MBPP (Austin et al., 2021), and APPS (Hendrycks et al., 2021) established evaluating LLMs on algorithmic function synthesis. Open-access and proprietary code foundation models—including AlphaCode (Li et al., 2022), StarCoder and StarCoder 2 (Li et al., 2023; Lozhkov et al., 2024), Code Llama (Rozière et al., 2023), DeepSeek-Coder (Guo et al., 2024), and Qwen2.5-Coder (Hui et al., 2024)—demonstrate state-of-the-art proficiency in next-token code completion and repository-level infilling. More recently, SWE-bench (Jimenez et al., 2024) shifted focus toward solving multi-file issues in real-world software repositories. However, these systems optimize for incremental patch generation and syntactic continuity rather than greenfield architectural refactoring, leaving models prone to replicating legacy patterns.</w:t>
      </w:r>
    </w:p>
    <w:p>
      <w:pPr>
        <w:keepNext/>
        <w:spacing w:before="240" w:after="80"/>
      </w:pPr>
      <w:r>
        <w:rPr>
          <w:rFonts w:ascii="Times New Roman" w:hAnsi="Times New Roman"/>
          <w:b/>
          <w:sz w:val="22"/>
        </w:rPr>
        <w:t>2.2 Iterative Refinement, Self-Correction, and Multi-Pass Reasoning</w:t>
      </w:r>
    </w:p>
    <w:p>
      <w:pPr>
        <w:spacing w:before="0" w:after="120" w:line="276" w:lineRule="auto"/>
        <w:jc w:val="both"/>
      </w:pPr>
      <w:r>
        <w:rPr>
          <w:rFonts w:ascii="Times New Roman" w:hAnsi="Times New Roman"/>
          <w:sz w:val="20"/>
        </w:rPr>
        <w:t>To overcome single-pass generation bottlenecks, multi-step prompt engineering protocols have emerged. Chain-of-Thought (CoT) prompting (Wei et al., 2022) induces intermediate reasoning steps before final code emission. Iterative critique architectures such as Self-Refine (Madaan et al., 2023) and Reflexion (Shinn et al., 2023) implement verbal reinforcement learning, prompting models to generate critique feedback across successive execution rounds. In software engineering, Self-Debug (Chen et al., 2024) and Self-Edit (Zhang et al., 2023) leverage compiler traces and unit test execution signals to guide iterative repair. Similarly, DIN-SQL (Pourreza &amp; Rafiei, 2023) demonstrates that decomposing complex queries into intermediate semantic representations significantly enhances output accuracy. Nevertheless, as Olausson et al. (2024) established, iterative self-repair often struggles when models are anchored to flawed initial hypotheses. When the raw legacy code remains in the prompt buffer across iterations, feedback loops fail to purge legacy topological anchors.</w:t>
      </w:r>
    </w:p>
    <w:p>
      <w:pPr>
        <w:keepNext/>
        <w:spacing w:before="240" w:after="80"/>
      </w:pPr>
      <w:r>
        <w:rPr>
          <w:rFonts w:ascii="Times New Roman" w:hAnsi="Times New Roman"/>
          <w:b/>
          <w:sz w:val="22"/>
        </w:rPr>
        <w:t>2.3 Attention Dynamics, Positional Encodings, and Contextual Anchoring</w:t>
      </w:r>
    </w:p>
    <w:p>
      <w:pPr>
        <w:spacing w:before="0" w:after="120" w:line="276" w:lineRule="auto"/>
        <w:jc w:val="both"/>
      </w:pPr>
      <w:r>
        <w:rPr>
          <w:rFonts w:ascii="Times New Roman" w:hAnsi="Times New Roman"/>
          <w:sz w:val="20"/>
        </w:rPr>
        <w:t>Anchoring bias in human decision-making was formalized by Tversky and Kahneman (1974) and expanded by Epley and Gilovich (2006) and Furnham and Boo (2011), demonstrating that initial contextual cues exert an asymmetric pull on subsequent judgment. Jones and Steinhardt (2022) demonstrated that LLMs exhibit cognitive heuristic failures analogous to human biases. In transformer attention dynamics, Xiao et al. (ICLR 2024) discovered the Attention Sink phenomenon, where autoregressive softmax normalization concentrates disproportionate attention mass on initial sequence tokens. Liu et al. (2024) documented the 'lost in the middle' phenomenon, showing that sequence placement heavily influences token salience. While Rotary Position Embeddings (RoPE) (Su et al., 2024) encode relative distances, prefix tokens persist in the active KV cache throughout generation. Recently, SinkTrack (Liu, Chen, &amp; Wang, ICLR 2026) investigated leveraging attention sinks for persistent context anchoring; conversely, our work demonstrates that when legacy presentation code forms the prefix, this attention anchoring inhibits unconstrained architectural innovation.</w:t>
      </w:r>
    </w:p>
    <w:p>
      <w:pPr>
        <w:keepNext/>
        <w:spacing w:before="240" w:after="80"/>
      </w:pPr>
      <w:r>
        <w:rPr>
          <w:rFonts w:ascii="Times New Roman" w:hAnsi="Times New Roman"/>
          <w:b/>
          <w:sz w:val="22"/>
        </w:rPr>
        <w:t>2.4 Code Evaluation Metrics and Structural Similarity</w:t>
      </w:r>
    </w:p>
    <w:p>
      <w:pPr>
        <w:spacing w:before="0" w:after="120" w:line="276" w:lineRule="auto"/>
        <w:jc w:val="both"/>
      </w:pPr>
      <w:r>
        <w:rPr>
          <w:rFonts w:ascii="Times New Roman" w:hAnsi="Times New Roman"/>
          <w:sz w:val="20"/>
        </w:rPr>
        <w:t>Evaluating structural transformations in synthesized code requires metrics beyond exact lexical overlap. While surface-level metrics such as BLEU and exact match penalize legitimate refactoring, neural semantic metrics like BERTScore (Zhang et al., 2020) and CodeBERTScore (Zhou et al., 2023) assess contextual embedding similarities. In this work, we evaluate structural deanchoring through a multi-metric triangulation framework comprising: (1) Jaccard AST Divergence (D_AST): Quantifies lexical and syntactic construct vocabulary divergence (1 - |C(X) ∩ C(Y)| / |C(X) ∪ C(Y)|); (2) Normalized Tree Edit Distance (D_TED): Measures true hierarchical parent-child topological structural distance using Tree-sitter AST parsers and the Zhang-Shasha algorithm (TED(Tree_X, Tree_Y) / max(|Tree_X|, |Tree_Y|)); and (3) Semantic Embedding Distance (D_sem): Evaluates cosine distance between dense code representations (1 - cos(e_X, e_Y)).</w:t>
      </w:r>
    </w:p>
    <w:p>
      <w:pPr>
        <w:keepNext/>
        <w:spacing w:before="240" w:after="80"/>
      </w:pPr>
      <w:r>
        <w:rPr>
          <w:rFonts w:ascii="Times New Roman" w:hAnsi="Times New Roman"/>
          <w:b/>
          <w:sz w:val="24"/>
        </w:rPr>
        <w:t>3. Theoretical Foundations &amp; Entropy Bounds</w:t>
      </w:r>
    </w:p>
    <w:p>
      <w:pPr>
        <w:spacing w:before="0" w:after="80" w:line="276" w:lineRule="auto"/>
        <w:jc w:val="both"/>
      </w:pPr>
      <w:r>
        <w:rPr>
          <w:rFonts w:ascii="Times New Roman" w:hAnsi="Times New Roman"/>
          <w:sz w:val="20"/>
        </w:rPr>
        <w:t>We formalize any codebase or interface implementation X in terms of Shannon Information Theory (Shannon, 1948). Let X be decomposed into two orthogonal components:</w:t>
      </w:r>
    </w:p>
    <w:p>
      <w:pPr>
        <w:spacing w:before="120" w:after="120"/>
        <w:jc w:val="center"/>
      </w:pPr>
      <w:r>
        <w:rPr>
          <w:rFonts w:ascii="Times New Roman" w:hAnsi="Times New Roman"/>
          <w:i/>
          <w:sz w:val="21"/>
        </w:rPr>
        <w:t>H(X) = H(D) + H(T | D)                                          (1)</w:t>
      </w:r>
    </w:p>
    <w:p>
      <w:pPr>
        <w:spacing w:before="0" w:after="120" w:line="276" w:lineRule="auto"/>
        <w:jc w:val="both"/>
      </w:pPr>
      <w:r>
        <w:rPr>
          <w:rFonts w:ascii="Times New Roman" w:hAnsi="Times New Roman"/>
          <w:sz w:val="20"/>
        </w:rPr>
        <w:t>where H(D) is the Domain Information Entropy (business logic, entity schemas, permission boundaries, and mathematical invariants) and H(T | D) is the Topological Presentation Entropy (HTML tags, CSS layout properties, loop constructs, and class wrappers).</w:t>
      </w:r>
    </w:p>
    <w:tbl>
      <w:tblPr>
        <w:tblW w:type="auto" w:w="0"/>
        <w:jc w:val="center"/>
        <w:tblLayout w:type="fixed"/>
        <w:tblLook w:firstColumn="1" w:firstRow="1" w:lastColumn="0" w:lastRow="0" w:noHBand="0" w:noVBand="1" w:val="04A0"/>
      </w:tblPr>
      <w:tblGrid>
        <w:gridCol w:w="9360"/>
      </w:tblGrid>
      <w:tr>
        <w:tc>
          <w:tcPr>
            <w:tcW w:type="dxa" w:w="9360"/>
            <w:shd w:fill="F4F6F7"/>
            <w:tcMar>
              <w:top w:w="140" w:type="dxa"/>
              <w:bottom w:w="140" w:type="dxa"/>
              <w:left w:w="180" w:type="dxa"/>
              <w:right w:w="180" w:type="dxa"/>
            </w:tcMar>
            <w:tcBorders>
              <w:top w:val="single" w:sz="6" w:space="0" w:color="BDC3C7"/>
              <w:left w:val="single" w:sz="18" w:space="0" w:color="2980B9"/>
              <w:bottom w:val="single" w:sz="6" w:space="0" w:color="BDC3C7"/>
              <w:right w:val="single" w:sz="6" w:space="0" w:color="BDC3C7"/>
            </w:tcBorders>
          </w:tcPr>
          <w:p>
            <w:pPr>
              <w:spacing w:before="40" w:after="60"/>
            </w:pPr>
            <w:r>
              <w:rPr>
                <w:rFonts w:ascii="Times New Roman" w:hAnsi="Times New Roman"/>
                <w:b/>
                <w:color w:val="2980B9"/>
                <w:sz w:val="20"/>
              </w:rPr>
              <w:t>Hypothesis 1 (The Contextual Anchoring Hypothesis):</w:t>
              <w:br/>
            </w:r>
            <w:r>
              <w:rPr>
                <w:rFonts w:ascii="Times New Roman" w:hAnsi="Times New Roman"/>
                <w:i/>
                <w:sz w:val="19"/>
              </w:rPr>
              <w:t>Let X be a legacy source file and Y be the newly synthesized implementation. Under single-pass conditioning Y ~ P(Y | X), the mutual topological information I(T_Y ; T_X | D) &gt; 0 between input and output presentations remains strictly positive due to non-zero attention mass allocated to prompt prefix tokens. In the asymptotic limit of large legacy sequence lengths |X|, unconstrained generation exhibits topological inertia: lim_{|X| -&gt; inf} Pr(T_Y = T_X) ≈ 1.0.</w:t>
            </w:r>
          </w:p>
        </w:tc>
      </w:tr>
    </w:tbl>
    <w:p>
      <w:pPr>
        <w:spacing w:after="120"/>
      </w:pPr>
    </w:p>
    <w:p>
      <w:pPr>
        <w:spacing w:before="0" w:after="80" w:line="276" w:lineRule="auto"/>
        <w:jc w:val="both"/>
      </w:pPr>
      <w:r>
        <w:rPr>
          <w:rFonts w:ascii="Times New Roman" w:hAnsi="Times New Roman"/>
          <w:sz w:val="20"/>
        </w:rPr>
        <w:t>To eliminate this topological dependency, the Two-Stage Decoupling Protocol establishes a Markov chain X -&gt; S -&gt; Y, where S = Psi(D) is an extracted intermediate YAML schema strictly stripped of presentation tokens. By the Data Processing Inequality (Cover &amp; Thomas, 2006):</w:t>
      </w:r>
    </w:p>
    <w:p>
      <w:pPr>
        <w:spacing w:before="120" w:after="120"/>
        <w:jc w:val="center"/>
      </w:pPr>
      <w:r>
        <w:rPr>
          <w:rFonts w:ascii="Times New Roman" w:hAnsi="Times New Roman"/>
          <w:i/>
          <w:sz w:val="21"/>
        </w:rPr>
        <w:t>I(T_Y ; T_X | S) = 0                                          (2)</w:t>
      </w:r>
    </w:p>
    <w:p>
      <w:pPr>
        <w:spacing w:before="0" w:after="200" w:line="276" w:lineRule="auto"/>
        <w:jc w:val="both"/>
      </w:pPr>
      <w:r>
        <w:rPr>
          <w:rFonts w:ascii="Times New Roman" w:hAnsi="Times New Roman"/>
          <w:sz w:val="20"/>
        </w:rPr>
        <w:t>Because T_X is absent from the context of Stage 2, the self-attention heads cannot attend to legacy layout tokens, forcing the model to generate a global, unanchored architecture from first principles. Modern LLMs employ Rotary Position Embeddings (RoPE) (Su et al., 2024), which enforce relative distance decay for distant tokens; however, since legacy prompt tokens occupy initial sequence indices, their key vectors persist in the active KV cache. Only Two-Stage Decoupling physically purges these legacy keys.</w:t>
      </w:r>
    </w:p>
    <w:p>
      <w:pPr>
        <w:keepNext/>
        <w:spacing w:before="240" w:after="80"/>
      </w:pPr>
      <w:r>
        <w:rPr>
          <w:rFonts w:ascii="Times New Roman" w:hAnsi="Times New Roman"/>
          <w:b/>
          <w:sz w:val="24"/>
        </w:rPr>
        <w:t>4. Comprehensive Empirical Benchmarks &amp; Evaluations</w:t>
      </w:r>
    </w:p>
    <w:p>
      <w:pPr>
        <w:keepNext/>
        <w:spacing w:before="240" w:after="80"/>
      </w:pPr>
      <w:r>
        <w:rPr>
          <w:rFonts w:ascii="Times New Roman" w:hAnsi="Times New Roman"/>
          <w:b/>
          <w:sz w:val="22"/>
        </w:rPr>
        <w:t>4.1 Deanchor-Bench-30: Comprehensive Multi-Domain Open-Source Benchmark Suite</w:t>
      </w:r>
    </w:p>
    <w:p>
      <w:pPr>
        <w:spacing w:before="0" w:after="80" w:line="276" w:lineRule="auto"/>
        <w:jc w:val="both"/>
      </w:pPr>
      <w:r>
        <w:rPr>
          <w:rFonts w:ascii="Times New Roman" w:hAnsi="Times New Roman"/>
          <w:sz w:val="20"/>
        </w:rPr>
        <w:t>To evaluate real-world architectural deanchoring at scale, we established Deanchor-Bench-30, a standardized benchmark suite comprising 30 open-source GitHub repositories spanning five distinct software engineering domains, totaling 55,415 lines of code (LOC) and 579 unit test assertions:</w:t>
      </w:r>
    </w:p>
    <w:p>
      <w:pPr>
        <w:spacing w:after="40"/>
        <w:ind w:left="288"/>
      </w:pPr>
      <w:r>
        <w:rPr>
          <w:rFonts w:ascii="Calibri" w:hAnsi="Calibri"/>
          <w:b/>
          <w:sz w:val="19"/>
        </w:rPr>
        <w:t xml:space="preserve">• Frontend &amp; UI Design Systems (6 Repos, 9,215 LOC): </w:t>
      </w:r>
      <w:r>
        <w:rPr>
          <w:rFonts w:ascii="Calibri" w:hAnsi="Calibri"/>
          <w:sz w:val="19"/>
        </w:rPr>
        <w:t>E.g., itsvijaysingh/My-Portfolio, react-admin, Pinia storefront, Svelte Kanban, SecOps command dashboard.</w:t>
      </w:r>
    </w:p>
    <w:p>
      <w:pPr>
        <w:spacing w:after="40"/>
        <w:ind w:left="288"/>
      </w:pPr>
      <w:r>
        <w:rPr>
          <w:rFonts w:ascii="Calibri" w:hAnsi="Calibri"/>
          <w:b/>
          <w:sz w:val="19"/>
        </w:rPr>
        <w:t xml:space="preserve">• Algorithmic &amp; Fintech Engines (6 Repos, 9,450 LOC): </w:t>
      </w:r>
      <w:r>
        <w:rPr>
          <w:rFonts w:ascii="Calibri" w:hAnsi="Calibri"/>
          <w:sz w:val="19"/>
        </w:rPr>
        <w:t>E.g., fasenderos/nodejs-order-book L2 matching engine, crypto arbitrage bots, B+ tree indexers, bi-directional A* pathfinders.</w:t>
      </w:r>
    </w:p>
    <w:p>
      <w:pPr>
        <w:spacing w:after="40"/>
        <w:ind w:left="288"/>
      </w:pPr>
      <w:r>
        <w:rPr>
          <w:rFonts w:ascii="Calibri" w:hAnsi="Calibri"/>
          <w:b/>
          <w:sz w:val="19"/>
        </w:rPr>
        <w:t xml:space="preserve">• Microservices &amp; Webhook Routing (6 Repos, 14,750 LOC): </w:t>
      </w:r>
      <w:r>
        <w:rPr>
          <w:rFonts w:ascii="Calibri" w:hAnsi="Calibri"/>
          <w:sz w:val="19"/>
        </w:rPr>
        <w:t>E.g., GitHub webhook consumer, Stripe event relay, FastAPI reverse proxy gateway, GraphQL sub-graph compilations.</w:t>
      </w:r>
    </w:p>
    <w:p>
      <w:pPr>
        <w:spacing w:after="40"/>
        <w:ind w:left="288"/>
      </w:pPr>
      <w:r>
        <w:rPr>
          <w:rFonts w:ascii="Calibri" w:hAnsi="Calibri"/>
          <w:b/>
          <w:sz w:val="19"/>
        </w:rPr>
        <w:t xml:space="preserve">• Security &amp; Cryptography (6 Repos, 11,750 LOC): </w:t>
      </w:r>
      <w:r>
        <w:rPr>
          <w:rFonts w:ascii="Calibri" w:hAnsi="Calibri"/>
          <w:sz w:val="19"/>
        </w:rPr>
        <w:t>E.g., bezkoder/node-js-jwt-auth, OAuth2/OIDC providers, hierarchical RBAC guards, WebCrypto AES-GCM vaults.</w:t>
      </w:r>
    </w:p>
    <w:p>
      <w:pPr>
        <w:spacing w:after="40"/>
        <w:ind w:left="288"/>
      </w:pPr>
      <w:r>
        <w:rPr>
          <w:rFonts w:ascii="Calibri" w:hAnsi="Calibri"/>
          <w:b/>
          <w:sz w:val="19"/>
        </w:rPr>
        <w:t xml:space="preserve">• Data Management &amp; State Stores (6 Repos, 10,250 LOC): </w:t>
      </w:r>
      <w:r>
        <w:rPr>
          <w:rFonts w:ascii="Calibri" w:hAnsi="Calibri"/>
          <w:sz w:val="19"/>
        </w:rPr>
        <w:t>E.g., node-lru-cache, streaming CSV/JSON parsers, XState deterministic state machines, reactive signal stores.</w:t>
      </w:r>
    </w:p>
    <w:p>
      <w:pPr>
        <w:spacing w:before="0" w:after="80" w:line="276" w:lineRule="auto"/>
        <w:jc w:val="both"/>
      </w:pPr>
      <w:r>
        <w:rPr>
          <w:rFonts w:ascii="Times New Roman" w:hAnsi="Times New Roman"/>
          <w:sz w:val="20"/>
        </w:rPr>
        <w:t>Repository Authenticity &amp; Test Provenance: To ensure rigorous academic integrity and experimental reproducibility, 76.7% (23/30) of benchmark targets evaluate against their official upstream open-source unit test suites (e.g., Jest, Pytest), while 23.3% (7/30) utilize author-created DOM, theme, and state assertion harnesses specifically designed to measure visual layout divergence and semantic invariant retention where upstream repositories lacked standardized CI harnesses.</w:t>
      </w:r>
    </w:p>
    <w:p>
      <w:pPr>
        <w:spacing w:before="0" w:after="120" w:line="276" w:lineRule="auto"/>
        <w:jc w:val="both"/>
      </w:pPr>
      <w:r>
        <w:rPr>
          <w:rFonts w:ascii="Times New Roman" w:hAnsi="Times New Roman"/>
          <w:sz w:val="20"/>
        </w:rPr>
        <w:t>We benchmarked four distinct LLM generation methodologies across the core benchmark targets: Zero-Shot Baseline (Condition D), Chain-of-Thought (Condition CoT), Reflexion / Self-Refine (2-Turn), and the Two-Stage Decoupling Protocol (Condition E - Ours). Table 1 presents multi-domain empirical results measured directly from model inference.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fill="EAECEE"/>
            <w:tcMar>
              <w:top w:w="120" w:type="dxa"/>
              <w:bottom w:w="120" w:type="dxa"/>
              <w:left w:w="140" w:type="dxa"/>
              <w:right w:w="140" w:type="dxa"/>
            </w:tcMar>
          </w:tcPr>
          <w:p>
            <w:pPr>
              <w:jc w:val="center"/>
            </w:pPr>
            <w:r>
              <w:rPr>
                <w:rFonts w:ascii="Times New Roman" w:hAnsi="Times New Roman"/>
                <w:b/>
                <w:sz w:val="19"/>
              </w:rPr>
              <w:t>Target Repository</w:t>
            </w:r>
          </w:p>
        </w:tc>
        <w:tc>
          <w:tcPr>
            <w:tcW w:type="dxa" w:w="1584"/>
            <w:shd w:fill="EAECEE"/>
            <w:tcMar>
              <w:top w:w="120" w:type="dxa"/>
              <w:bottom w:w="120" w:type="dxa"/>
              <w:left w:w="140" w:type="dxa"/>
              <w:right w:w="140" w:type="dxa"/>
            </w:tcMar>
          </w:tcPr>
          <w:p>
            <w:pPr>
              <w:jc w:val="center"/>
            </w:pPr>
            <w:r>
              <w:rPr>
                <w:rFonts w:ascii="Times New Roman" w:hAnsi="Times New Roman"/>
                <w:b/>
                <w:sz w:val="19"/>
              </w:rPr>
              <w:t>Domain</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D D_AST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D D_TED</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E D_AST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E D_TED</w:t>
            </w:r>
          </w:p>
        </w:tc>
        <w:tc>
          <w:tcPr>
            <w:tcW w:type="dxa" w:w="1296"/>
            <w:shd w:fill="EAECEE"/>
            <w:tcMar>
              <w:top w:w="120" w:type="dxa"/>
              <w:bottom w:w="120" w:type="dxa"/>
              <w:left w:w="140" w:type="dxa"/>
              <w:right w:w="140" w:type="dxa"/>
            </w:tcMar>
          </w:tcPr>
          <w:p>
            <w:pPr>
              <w:jc w:val="center"/>
            </w:pPr>
            <w:r>
              <w:rPr>
                <w:rFonts w:ascii="Times New Roman" w:hAnsi="Times New Roman"/>
                <w:b/>
                <w:sz w:val="19"/>
              </w:rPr>
              <w:t>Noise Filtered</w:t>
            </w:r>
          </w:p>
        </w:tc>
      </w:tr>
      <w:tr>
        <w:tc>
          <w:tcPr>
            <w:tcW w:type="dxa" w:w="2016"/>
            <w:shd w:fill="FFFFFF"/>
            <w:tcMar>
              <w:top w:w="100" w:type="dxa"/>
              <w:bottom w:w="100" w:type="dxa"/>
              <w:left w:w="120" w:type="dxa"/>
              <w:right w:w="120" w:type="dxa"/>
            </w:tcMar>
          </w:tcPr>
          <w:p>
            <w:pPr>
              <w:jc w:val="left"/>
            </w:pPr>
            <w:r>
              <w:rPr>
                <w:rFonts w:ascii="Times New Roman" w:hAnsi="Times New Roman"/>
                <w:sz w:val="18"/>
              </w:rPr>
              <w:t>ui_01_portfolio</w:t>
            </w:r>
          </w:p>
        </w:tc>
        <w:tc>
          <w:tcPr>
            <w:tcW w:type="dxa" w:w="1584"/>
            <w:shd w:fill="FFFFFF"/>
            <w:tcMar>
              <w:top w:w="100" w:type="dxa"/>
              <w:bottom w:w="100" w:type="dxa"/>
              <w:left w:w="120" w:type="dxa"/>
              <w:right w:w="120" w:type="dxa"/>
            </w:tcMar>
          </w:tcPr>
          <w:p>
            <w:pPr>
              <w:jc w:val="center"/>
            </w:pPr>
            <w:r>
              <w:rPr>
                <w:rFonts w:ascii="Times New Roman" w:hAnsi="Times New Roman"/>
                <w:sz w:val="18"/>
              </w:rPr>
              <w:t>Frontend (HTML)</w:t>
            </w:r>
          </w:p>
        </w:tc>
        <w:tc>
          <w:tcPr>
            <w:tcW w:type="dxa" w:w="1152"/>
            <w:shd w:fill="FFFFFF"/>
            <w:tcMar>
              <w:top w:w="100" w:type="dxa"/>
              <w:bottom w:w="100" w:type="dxa"/>
              <w:left w:w="120" w:type="dxa"/>
              <w:right w:w="120" w:type="dxa"/>
            </w:tcMar>
          </w:tcPr>
          <w:p>
            <w:pPr>
              <w:jc w:val="center"/>
            </w:pPr>
            <w:r>
              <w:rPr>
                <w:rFonts w:ascii="Times New Roman" w:hAnsi="Times New Roman"/>
                <w:sz w:val="18"/>
              </w:rPr>
              <w:t>0.7203</w:t>
            </w:r>
          </w:p>
        </w:tc>
        <w:tc>
          <w:tcPr>
            <w:tcW w:type="dxa" w:w="1152"/>
            <w:shd w:fill="FFFFFF"/>
            <w:tcMar>
              <w:top w:w="100" w:type="dxa"/>
              <w:bottom w:w="100" w:type="dxa"/>
              <w:left w:w="120" w:type="dxa"/>
              <w:right w:w="120" w:type="dxa"/>
            </w:tcMar>
          </w:tcPr>
          <w:p>
            <w:pPr>
              <w:jc w:val="center"/>
            </w:pPr>
            <w:r>
              <w:rPr>
                <w:rFonts w:ascii="Times New Roman" w:hAnsi="Times New Roman"/>
                <w:sz w:val="18"/>
              </w:rPr>
              <w:t>0.3860</w:t>
            </w:r>
          </w:p>
        </w:tc>
        <w:tc>
          <w:tcPr>
            <w:tcW w:type="dxa" w:w="1152"/>
            <w:shd w:fill="FFFFFF"/>
            <w:tcMar>
              <w:top w:w="100" w:type="dxa"/>
              <w:bottom w:w="100" w:type="dxa"/>
              <w:left w:w="120" w:type="dxa"/>
              <w:right w:w="120" w:type="dxa"/>
            </w:tcMar>
          </w:tcPr>
          <w:p>
            <w:pPr>
              <w:jc w:val="center"/>
            </w:pPr>
            <w:r>
              <w:rPr>
                <w:rFonts w:ascii="Times New Roman" w:hAnsi="Times New Roman"/>
                <w:b/>
                <w:sz w:val="18"/>
              </w:rPr>
              <w:t>0.9234</w:t>
            </w:r>
          </w:p>
        </w:tc>
        <w:tc>
          <w:tcPr>
            <w:tcW w:type="dxa" w:w="1152"/>
            <w:shd w:fill="FFFFFF"/>
            <w:tcMar>
              <w:top w:w="100" w:type="dxa"/>
              <w:bottom w:w="100" w:type="dxa"/>
              <w:left w:w="120" w:type="dxa"/>
              <w:right w:w="120" w:type="dxa"/>
            </w:tcMar>
          </w:tcPr>
          <w:p>
            <w:pPr>
              <w:jc w:val="center"/>
            </w:pPr>
            <w:r>
              <w:rPr>
                <w:rFonts w:ascii="Times New Roman" w:hAnsi="Times New Roman"/>
                <w:b/>
                <w:sz w:val="18"/>
              </w:rPr>
              <w:t>0.8600</w:t>
            </w:r>
          </w:p>
        </w:tc>
        <w:tc>
          <w:tcPr>
            <w:tcW w:type="dxa" w:w="1296"/>
            <w:shd w:fill="FFFFFF"/>
            <w:tcMar>
              <w:top w:w="100" w:type="dxa"/>
              <w:bottom w:w="100" w:type="dxa"/>
              <w:left w:w="120" w:type="dxa"/>
              <w:right w:w="120" w:type="dxa"/>
            </w:tcMar>
          </w:tcPr>
          <w:p>
            <w:pPr>
              <w:jc w:val="center"/>
            </w:pPr>
            <w:r>
              <w:rPr>
                <w:rFonts w:ascii="Times New Roman" w:hAnsi="Times New Roman"/>
                <w:b/>
                <w:sz w:val="18"/>
              </w:rPr>
              <w:t>93.0%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ui_06_secops_dashboard</w:t>
            </w:r>
          </w:p>
        </w:tc>
        <w:tc>
          <w:tcPr>
            <w:tcW w:type="dxa" w:w="1584"/>
            <w:shd w:fill="F8F9F9"/>
            <w:tcMar>
              <w:top w:w="100" w:type="dxa"/>
              <w:bottom w:w="100" w:type="dxa"/>
              <w:left w:w="120" w:type="dxa"/>
              <w:right w:w="120" w:type="dxa"/>
            </w:tcMar>
          </w:tcPr>
          <w:p>
            <w:pPr>
              <w:jc w:val="center"/>
            </w:pPr>
            <w:r>
              <w:rPr>
                <w:rFonts w:ascii="Times New Roman" w:hAnsi="Times New Roman"/>
                <w:sz w:val="18"/>
              </w:rPr>
              <w:t>Enterprise (1.4k LOC)</w:t>
            </w:r>
          </w:p>
        </w:tc>
        <w:tc>
          <w:tcPr>
            <w:tcW w:type="dxa" w:w="1152"/>
            <w:shd w:fill="F8F9F9"/>
            <w:tcMar>
              <w:top w:w="100" w:type="dxa"/>
              <w:bottom w:w="100" w:type="dxa"/>
              <w:left w:w="120" w:type="dxa"/>
              <w:right w:w="120" w:type="dxa"/>
            </w:tcMar>
          </w:tcPr>
          <w:p>
            <w:pPr>
              <w:jc w:val="center"/>
            </w:pPr>
            <w:r>
              <w:rPr>
                <w:rFonts w:ascii="Times New Roman" w:hAnsi="Times New Roman"/>
                <w:sz w:val="18"/>
              </w:rPr>
              <w:t>0.7351</w:t>
            </w:r>
          </w:p>
        </w:tc>
        <w:tc>
          <w:tcPr>
            <w:tcW w:type="dxa" w:w="1152"/>
            <w:shd w:fill="F8F9F9"/>
            <w:tcMar>
              <w:top w:w="100" w:type="dxa"/>
              <w:bottom w:w="100" w:type="dxa"/>
              <w:left w:w="120" w:type="dxa"/>
              <w:right w:w="120" w:type="dxa"/>
            </w:tcMar>
          </w:tcPr>
          <w:p>
            <w:pPr>
              <w:jc w:val="center"/>
            </w:pPr>
            <w:r>
              <w:rPr>
                <w:rFonts w:ascii="Times New Roman" w:hAnsi="Times New Roman"/>
                <w:sz w:val="18"/>
              </w:rPr>
              <w:t>0.6182</w:t>
            </w:r>
          </w:p>
        </w:tc>
        <w:tc>
          <w:tcPr>
            <w:tcW w:type="dxa" w:w="1152"/>
            <w:shd w:fill="F8F9F9"/>
            <w:tcMar>
              <w:top w:w="100" w:type="dxa"/>
              <w:bottom w:w="100" w:type="dxa"/>
              <w:left w:w="120" w:type="dxa"/>
              <w:right w:w="120" w:type="dxa"/>
            </w:tcMar>
          </w:tcPr>
          <w:p>
            <w:pPr>
              <w:jc w:val="center"/>
            </w:pPr>
            <w:r>
              <w:rPr>
                <w:rFonts w:ascii="Times New Roman" w:hAnsi="Times New Roman"/>
                <w:b/>
                <w:sz w:val="18"/>
              </w:rPr>
              <w:t>0.9762</w:t>
            </w:r>
          </w:p>
        </w:tc>
        <w:tc>
          <w:tcPr>
            <w:tcW w:type="dxa" w:w="1152"/>
            <w:shd w:fill="F8F9F9"/>
            <w:tcMar>
              <w:top w:w="100" w:type="dxa"/>
              <w:bottom w:w="100" w:type="dxa"/>
              <w:left w:w="120" w:type="dxa"/>
              <w:right w:w="120" w:type="dxa"/>
            </w:tcMar>
          </w:tcPr>
          <w:p>
            <w:pPr>
              <w:jc w:val="center"/>
            </w:pPr>
            <w:r>
              <w:rPr>
                <w:rFonts w:ascii="Times New Roman" w:hAnsi="Times New Roman"/>
                <w:b/>
                <w:sz w:val="18"/>
              </w:rPr>
              <w:t>0.9636</w:t>
            </w:r>
          </w:p>
        </w:tc>
        <w:tc>
          <w:tcPr>
            <w:tcW w:type="dxa" w:w="1296"/>
            <w:shd w:fill="F8F9F9"/>
            <w:tcMar>
              <w:top w:w="100" w:type="dxa"/>
              <w:bottom w:w="100" w:type="dxa"/>
              <w:left w:w="120" w:type="dxa"/>
              <w:right w:w="120" w:type="dxa"/>
            </w:tcMar>
          </w:tcPr>
          <w:p>
            <w:pPr>
              <w:jc w:val="center"/>
            </w:pPr>
            <w:r>
              <w:rPr>
                <w:rFonts w:ascii="Times New Roman" w:hAnsi="Times New Roman"/>
                <w:b/>
                <w:sz w:val="18"/>
              </w:rPr>
              <w:t>94.4%</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algo_01_orderbook</w:t>
            </w:r>
          </w:p>
        </w:tc>
        <w:tc>
          <w:tcPr>
            <w:tcW w:type="dxa" w:w="1584"/>
            <w:shd w:fill="FFFFFF"/>
            <w:tcMar>
              <w:top w:w="100" w:type="dxa"/>
              <w:bottom w:w="100" w:type="dxa"/>
              <w:left w:w="120" w:type="dxa"/>
              <w:right w:w="120" w:type="dxa"/>
            </w:tcMar>
          </w:tcPr>
          <w:p>
            <w:pPr>
              <w:jc w:val="center"/>
            </w:pPr>
            <w:r>
              <w:rPr>
                <w:rFonts w:ascii="Times New Roman" w:hAnsi="Times New Roman"/>
                <w:sz w:val="18"/>
              </w:rPr>
              <w:t>Fintech (1.1k LOC)</w:t>
            </w:r>
          </w:p>
        </w:tc>
        <w:tc>
          <w:tcPr>
            <w:tcW w:type="dxa" w:w="1152"/>
            <w:shd w:fill="FFFFFF"/>
            <w:tcMar>
              <w:top w:w="100" w:type="dxa"/>
              <w:bottom w:w="100" w:type="dxa"/>
              <w:left w:w="120" w:type="dxa"/>
              <w:right w:w="120" w:type="dxa"/>
            </w:tcMar>
          </w:tcPr>
          <w:p>
            <w:pPr>
              <w:jc w:val="center"/>
            </w:pPr>
            <w:r>
              <w:rPr>
                <w:rFonts w:ascii="Times New Roman" w:hAnsi="Times New Roman"/>
                <w:sz w:val="18"/>
              </w:rPr>
              <w:t>0.6177</w:t>
            </w:r>
          </w:p>
        </w:tc>
        <w:tc>
          <w:tcPr>
            <w:tcW w:type="dxa" w:w="1152"/>
            <w:shd w:fill="FFFFFF"/>
            <w:tcMar>
              <w:top w:w="100" w:type="dxa"/>
              <w:bottom w:w="100" w:type="dxa"/>
              <w:left w:w="120" w:type="dxa"/>
              <w:right w:w="120" w:type="dxa"/>
            </w:tcMar>
          </w:tcPr>
          <w:p>
            <w:pPr>
              <w:jc w:val="center"/>
            </w:pPr>
            <w:r>
              <w:rPr>
                <w:rFonts w:ascii="Times New Roman" w:hAnsi="Times New Roman"/>
                <w:sz w:val="18"/>
              </w:rPr>
              <w:t>0.6724</w:t>
            </w:r>
          </w:p>
        </w:tc>
        <w:tc>
          <w:tcPr>
            <w:tcW w:type="dxa" w:w="1152"/>
            <w:shd w:fill="FFFFFF"/>
            <w:tcMar>
              <w:top w:w="100" w:type="dxa"/>
              <w:bottom w:w="100" w:type="dxa"/>
              <w:left w:w="120" w:type="dxa"/>
              <w:right w:w="120" w:type="dxa"/>
            </w:tcMar>
          </w:tcPr>
          <w:p>
            <w:pPr>
              <w:jc w:val="center"/>
            </w:pPr>
            <w:r>
              <w:rPr>
                <w:rFonts w:ascii="Times New Roman" w:hAnsi="Times New Roman"/>
                <w:b/>
                <w:sz w:val="18"/>
              </w:rPr>
              <w:t>0.8308</w:t>
            </w:r>
          </w:p>
        </w:tc>
        <w:tc>
          <w:tcPr>
            <w:tcW w:type="dxa" w:w="1152"/>
            <w:shd w:fill="FFFFFF"/>
            <w:tcMar>
              <w:top w:w="100" w:type="dxa"/>
              <w:bottom w:w="100" w:type="dxa"/>
              <w:left w:w="120" w:type="dxa"/>
              <w:right w:w="120" w:type="dxa"/>
            </w:tcMar>
          </w:tcPr>
          <w:p>
            <w:pPr>
              <w:jc w:val="center"/>
            </w:pPr>
            <w:r>
              <w:rPr>
                <w:rFonts w:ascii="Times New Roman" w:hAnsi="Times New Roman"/>
                <w:b/>
                <w:sz w:val="18"/>
              </w:rPr>
              <w:t>1.0000</w:t>
            </w:r>
          </w:p>
        </w:tc>
        <w:tc>
          <w:tcPr>
            <w:tcW w:type="dxa" w:w="1296"/>
            <w:shd w:fill="FFFFFF"/>
            <w:tcMar>
              <w:top w:w="100" w:type="dxa"/>
              <w:bottom w:w="100" w:type="dxa"/>
              <w:left w:w="120" w:type="dxa"/>
              <w:right w:w="120" w:type="dxa"/>
            </w:tcMar>
          </w:tcPr>
          <w:p>
            <w:pPr>
              <w:jc w:val="center"/>
            </w:pPr>
            <w:r>
              <w:rPr>
                <w:rFonts w:ascii="Times New Roman" w:hAnsi="Times New Roman"/>
                <w:b/>
                <w:sz w:val="18"/>
              </w:rPr>
              <w:t>82.5%</w:t>
            </w:r>
          </w:p>
        </w:tc>
      </w:tr>
      <w:tr>
        <w:tc>
          <w:tcPr>
            <w:tcW w:type="dxa" w:w="2016"/>
            <w:shd w:fill="F8F9F9"/>
            <w:tcMar>
              <w:top w:w="100" w:type="dxa"/>
              <w:bottom w:w="100" w:type="dxa"/>
              <w:left w:w="120" w:type="dxa"/>
              <w:right w:w="120" w:type="dxa"/>
            </w:tcMar>
          </w:tcPr>
          <w:p>
            <w:pPr>
              <w:jc w:val="left"/>
            </w:pPr>
            <w:r>
              <w:rPr>
                <w:rFonts w:ascii="Times New Roman" w:hAnsi="Times New Roman"/>
                <w:sz w:val="18"/>
              </w:rPr>
              <w:t>algo_03_graph_pathfinder</w:t>
            </w:r>
          </w:p>
        </w:tc>
        <w:tc>
          <w:tcPr>
            <w:tcW w:type="dxa" w:w="1584"/>
            <w:shd w:fill="F8F9F9"/>
            <w:tcMar>
              <w:top w:w="100" w:type="dxa"/>
              <w:bottom w:w="100" w:type="dxa"/>
              <w:left w:w="120" w:type="dxa"/>
              <w:right w:w="120" w:type="dxa"/>
            </w:tcMar>
          </w:tcPr>
          <w:p>
            <w:pPr>
              <w:jc w:val="center"/>
            </w:pPr>
            <w:r>
              <w:rPr>
                <w:rFonts w:ascii="Times New Roman" w:hAnsi="Times New Roman"/>
                <w:sz w:val="18"/>
              </w:rPr>
              <w:t>Pathfinder (TS)</w:t>
            </w:r>
          </w:p>
        </w:tc>
        <w:tc>
          <w:tcPr>
            <w:tcW w:type="dxa" w:w="1152"/>
            <w:shd w:fill="F8F9F9"/>
            <w:tcMar>
              <w:top w:w="100" w:type="dxa"/>
              <w:bottom w:w="100" w:type="dxa"/>
              <w:left w:w="120" w:type="dxa"/>
              <w:right w:w="120" w:type="dxa"/>
            </w:tcMar>
          </w:tcPr>
          <w:p>
            <w:pPr>
              <w:jc w:val="center"/>
            </w:pPr>
            <w:r>
              <w:rPr>
                <w:rFonts w:ascii="Times New Roman" w:hAnsi="Times New Roman"/>
                <w:sz w:val="18"/>
              </w:rPr>
              <w:t>0.9847</w:t>
            </w:r>
          </w:p>
        </w:tc>
        <w:tc>
          <w:tcPr>
            <w:tcW w:type="dxa" w:w="1152"/>
            <w:shd w:fill="F8F9F9"/>
            <w:tcMar>
              <w:top w:w="100" w:type="dxa"/>
              <w:bottom w:w="100" w:type="dxa"/>
              <w:left w:w="120" w:type="dxa"/>
              <w:right w:w="120" w:type="dxa"/>
            </w:tcMar>
          </w:tcPr>
          <w:p>
            <w:pPr>
              <w:jc w:val="center"/>
            </w:pPr>
            <w:r>
              <w:rPr>
                <w:rFonts w:ascii="Times New Roman" w:hAnsi="Times New Roman"/>
                <w:sz w:val="18"/>
              </w:rPr>
              <w:t>0.9800</w:t>
            </w:r>
          </w:p>
        </w:tc>
        <w:tc>
          <w:tcPr>
            <w:tcW w:type="dxa" w:w="1152"/>
            <w:shd w:fill="F8F9F9"/>
            <w:tcMar>
              <w:top w:w="100" w:type="dxa"/>
              <w:bottom w:w="100" w:type="dxa"/>
              <w:left w:w="120" w:type="dxa"/>
              <w:right w:w="120" w:type="dxa"/>
            </w:tcMar>
          </w:tcPr>
          <w:p>
            <w:pPr>
              <w:jc w:val="center"/>
            </w:pPr>
            <w:r>
              <w:rPr>
                <w:rFonts w:ascii="Times New Roman" w:hAnsi="Times New Roman"/>
                <w:b/>
                <w:sz w:val="18"/>
              </w:rPr>
              <w:t>0.9780</w:t>
            </w:r>
          </w:p>
        </w:tc>
        <w:tc>
          <w:tcPr>
            <w:tcW w:type="dxa" w:w="1152"/>
            <w:shd w:fill="F8F9F9"/>
            <w:tcMar>
              <w:top w:w="100" w:type="dxa"/>
              <w:bottom w:w="100" w:type="dxa"/>
              <w:left w:w="120" w:type="dxa"/>
              <w:right w:w="120" w:type="dxa"/>
            </w:tcMar>
          </w:tcPr>
          <w:p>
            <w:pPr>
              <w:jc w:val="center"/>
            </w:pPr>
            <w:r>
              <w:rPr>
                <w:rFonts w:ascii="Times New Roman" w:hAnsi="Times New Roman"/>
                <w:b/>
                <w:sz w:val="18"/>
              </w:rPr>
              <w:t>1.0000</w:t>
            </w:r>
          </w:p>
        </w:tc>
        <w:tc>
          <w:tcPr>
            <w:tcW w:type="dxa" w:w="1296"/>
            <w:shd w:fill="F8F9F9"/>
            <w:tcMar>
              <w:top w:w="100" w:type="dxa"/>
              <w:bottom w:w="100" w:type="dxa"/>
              <w:left w:w="120" w:type="dxa"/>
              <w:right w:w="120" w:type="dxa"/>
            </w:tcMar>
          </w:tcPr>
          <w:p>
            <w:pPr>
              <w:jc w:val="center"/>
            </w:pPr>
            <w:r>
              <w:rPr>
                <w:rFonts w:ascii="Times New Roman" w:hAnsi="Times New Roman"/>
                <w:sz w:val="18"/>
              </w:rPr>
              <w:t>78.2%</w:t>
            </w:r>
          </w:p>
        </w:tc>
      </w:tr>
      <w:tr>
        <w:tc>
          <w:tcPr>
            <w:tcW w:type="dxa" w:w="2016"/>
            <w:shd w:fill="FFFFFF"/>
            <w:tcMar>
              <w:top w:w="100" w:type="dxa"/>
              <w:bottom w:w="100" w:type="dxa"/>
              <w:left w:w="120" w:type="dxa"/>
              <w:right w:w="120" w:type="dxa"/>
            </w:tcMar>
          </w:tcPr>
          <w:p>
            <w:pPr>
              <w:jc w:val="left"/>
            </w:pPr>
            <w:r>
              <w:rPr>
                <w:rFonts w:ascii="Times New Roman" w:hAnsi="Times New Roman"/>
                <w:sz w:val="18"/>
              </w:rPr>
              <w:t>micro_01_webhook_dispatcher</w:t>
            </w:r>
          </w:p>
        </w:tc>
        <w:tc>
          <w:tcPr>
            <w:tcW w:type="dxa" w:w="1584"/>
            <w:shd w:fill="FFFFFF"/>
            <w:tcMar>
              <w:top w:w="100" w:type="dxa"/>
              <w:bottom w:w="100" w:type="dxa"/>
              <w:left w:w="120" w:type="dxa"/>
              <w:right w:w="120" w:type="dxa"/>
            </w:tcMar>
          </w:tcPr>
          <w:p>
            <w:pPr>
              <w:jc w:val="center"/>
            </w:pPr>
            <w:r>
              <w:rPr>
                <w:rFonts w:ascii="Times New Roman" w:hAnsi="Times New Roman"/>
                <w:sz w:val="18"/>
              </w:rPr>
              <w:t>Microservices (JS)</w:t>
            </w:r>
          </w:p>
        </w:tc>
        <w:tc>
          <w:tcPr>
            <w:tcW w:type="dxa" w:w="1152"/>
            <w:shd w:fill="FFFFFF"/>
            <w:tcMar>
              <w:top w:w="100" w:type="dxa"/>
              <w:bottom w:w="100" w:type="dxa"/>
              <w:left w:w="120" w:type="dxa"/>
              <w:right w:w="120" w:type="dxa"/>
            </w:tcMar>
          </w:tcPr>
          <w:p>
            <w:pPr>
              <w:jc w:val="center"/>
            </w:pPr>
            <w:r>
              <w:rPr>
                <w:rFonts w:ascii="Times New Roman" w:hAnsi="Times New Roman"/>
                <w:sz w:val="18"/>
              </w:rPr>
              <w:t>0.7068</w:t>
            </w:r>
          </w:p>
        </w:tc>
        <w:tc>
          <w:tcPr>
            <w:tcW w:type="dxa" w:w="1152"/>
            <w:shd w:fill="FFFFFF"/>
            <w:tcMar>
              <w:top w:w="100" w:type="dxa"/>
              <w:bottom w:w="100" w:type="dxa"/>
              <w:left w:w="120" w:type="dxa"/>
              <w:right w:w="120" w:type="dxa"/>
            </w:tcMar>
          </w:tcPr>
          <w:p>
            <w:pPr>
              <w:jc w:val="center"/>
            </w:pPr>
            <w:r>
              <w:rPr>
                <w:rFonts w:ascii="Times New Roman" w:hAnsi="Times New Roman"/>
                <w:sz w:val="18"/>
              </w:rPr>
              <w:t>0.9730</w:t>
            </w:r>
          </w:p>
        </w:tc>
        <w:tc>
          <w:tcPr>
            <w:tcW w:type="dxa" w:w="1152"/>
            <w:shd w:fill="FFFFFF"/>
            <w:tcMar>
              <w:top w:w="100" w:type="dxa"/>
              <w:bottom w:w="100" w:type="dxa"/>
              <w:left w:w="120" w:type="dxa"/>
              <w:right w:w="120" w:type="dxa"/>
            </w:tcMar>
          </w:tcPr>
          <w:p>
            <w:pPr>
              <w:jc w:val="center"/>
            </w:pPr>
            <w:r>
              <w:rPr>
                <w:rFonts w:ascii="Times New Roman" w:hAnsi="Times New Roman"/>
                <w:b/>
                <w:sz w:val="18"/>
              </w:rPr>
              <w:t>0.8828</w:t>
            </w:r>
          </w:p>
        </w:tc>
        <w:tc>
          <w:tcPr>
            <w:tcW w:type="dxa" w:w="1152"/>
            <w:shd w:fill="FFFFFF"/>
            <w:tcMar>
              <w:top w:w="100" w:type="dxa"/>
              <w:bottom w:w="100" w:type="dxa"/>
              <w:left w:w="120" w:type="dxa"/>
              <w:right w:w="120" w:type="dxa"/>
            </w:tcMar>
          </w:tcPr>
          <w:p>
            <w:pPr>
              <w:jc w:val="center"/>
            </w:pPr>
            <w:r>
              <w:rPr>
                <w:rFonts w:ascii="Times New Roman" w:hAnsi="Times New Roman"/>
                <w:b/>
                <w:sz w:val="18"/>
              </w:rPr>
              <w:t>0.9070</w:t>
            </w:r>
          </w:p>
        </w:tc>
        <w:tc>
          <w:tcPr>
            <w:tcW w:type="dxa" w:w="1296"/>
            <w:shd w:fill="FFFFFF"/>
            <w:tcMar>
              <w:top w:w="100" w:type="dxa"/>
              <w:bottom w:w="100" w:type="dxa"/>
              <w:left w:w="120" w:type="dxa"/>
              <w:right w:w="120" w:type="dxa"/>
            </w:tcMar>
          </w:tcPr>
          <w:p>
            <w:pPr>
              <w:jc w:val="center"/>
            </w:pPr>
            <w:r>
              <w:rPr>
                <w:rFonts w:ascii="Times New Roman" w:hAnsi="Times New Roman"/>
                <w:sz w:val="18"/>
              </w:rPr>
              <w:t>75.0%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micro_03_api_gateway</w:t>
            </w:r>
          </w:p>
        </w:tc>
        <w:tc>
          <w:tcPr>
            <w:tcW w:type="dxa" w:w="1584"/>
            <w:shd w:fill="F8F9F9"/>
            <w:tcMar>
              <w:top w:w="100" w:type="dxa"/>
              <w:bottom w:w="100" w:type="dxa"/>
              <w:left w:w="120" w:type="dxa"/>
              <w:right w:w="120" w:type="dxa"/>
            </w:tcMar>
          </w:tcPr>
          <w:p>
            <w:pPr>
              <w:jc w:val="center"/>
            </w:pPr>
            <w:r>
              <w:rPr>
                <w:rFonts w:ascii="Times New Roman" w:hAnsi="Times New Roman"/>
                <w:sz w:val="18"/>
              </w:rPr>
              <w:t>Gateway (Python)</w:t>
            </w:r>
          </w:p>
        </w:tc>
        <w:tc>
          <w:tcPr>
            <w:tcW w:type="dxa" w:w="1152"/>
            <w:shd w:fill="F8F9F9"/>
            <w:tcMar>
              <w:top w:w="100" w:type="dxa"/>
              <w:bottom w:w="100" w:type="dxa"/>
              <w:left w:w="120" w:type="dxa"/>
              <w:right w:w="120" w:type="dxa"/>
            </w:tcMar>
          </w:tcPr>
          <w:p>
            <w:pPr>
              <w:jc w:val="center"/>
            </w:pPr>
            <w:r>
              <w:rPr>
                <w:rFonts w:ascii="Times New Roman" w:hAnsi="Times New Roman"/>
                <w:sz w:val="18"/>
              </w:rPr>
              <w:t>0.9832</w:t>
            </w:r>
          </w:p>
        </w:tc>
        <w:tc>
          <w:tcPr>
            <w:tcW w:type="dxa" w:w="1152"/>
            <w:shd w:fill="F8F9F9"/>
            <w:tcMar>
              <w:top w:w="100" w:type="dxa"/>
              <w:bottom w:w="100" w:type="dxa"/>
              <w:left w:w="120" w:type="dxa"/>
              <w:right w:w="120" w:type="dxa"/>
            </w:tcMar>
          </w:tcPr>
          <w:p>
            <w:pPr>
              <w:jc w:val="center"/>
            </w:pPr>
            <w:r>
              <w:rPr>
                <w:rFonts w:ascii="Times New Roman" w:hAnsi="Times New Roman"/>
                <w:sz w:val="18"/>
              </w:rPr>
              <w:t>0.8276</w:t>
            </w:r>
          </w:p>
        </w:tc>
        <w:tc>
          <w:tcPr>
            <w:tcW w:type="dxa" w:w="1152"/>
            <w:shd w:fill="F8F9F9"/>
            <w:tcMar>
              <w:top w:w="100" w:type="dxa"/>
              <w:bottom w:w="100" w:type="dxa"/>
              <w:left w:w="120" w:type="dxa"/>
              <w:right w:w="120" w:type="dxa"/>
            </w:tcMar>
          </w:tcPr>
          <w:p>
            <w:pPr>
              <w:jc w:val="center"/>
            </w:pPr>
            <w:r>
              <w:rPr>
                <w:rFonts w:ascii="Times New Roman" w:hAnsi="Times New Roman"/>
                <w:b/>
                <w:sz w:val="18"/>
              </w:rPr>
              <w:t>0.9840</w:t>
            </w:r>
          </w:p>
        </w:tc>
        <w:tc>
          <w:tcPr>
            <w:tcW w:type="dxa" w:w="1152"/>
            <w:shd w:fill="F8F9F9"/>
            <w:tcMar>
              <w:top w:w="100" w:type="dxa"/>
              <w:bottom w:w="100" w:type="dxa"/>
              <w:left w:w="120" w:type="dxa"/>
              <w:right w:w="120" w:type="dxa"/>
            </w:tcMar>
          </w:tcPr>
          <w:p>
            <w:pPr>
              <w:jc w:val="center"/>
            </w:pPr>
            <w:r>
              <w:rPr>
                <w:rFonts w:ascii="Times New Roman" w:hAnsi="Times New Roman"/>
                <w:b/>
                <w:sz w:val="18"/>
              </w:rPr>
              <w:t>0.8889</w:t>
            </w:r>
          </w:p>
        </w:tc>
        <w:tc>
          <w:tcPr>
            <w:tcW w:type="dxa" w:w="1296"/>
            <w:shd w:fill="F8F9F9"/>
            <w:tcMar>
              <w:top w:w="100" w:type="dxa"/>
              <w:bottom w:w="100" w:type="dxa"/>
              <w:left w:w="120" w:type="dxa"/>
              <w:right w:w="120" w:type="dxa"/>
            </w:tcMar>
          </w:tcPr>
          <w:p>
            <w:pPr>
              <w:jc w:val="center"/>
            </w:pPr>
            <w:r>
              <w:rPr>
                <w:rFonts w:ascii="Times New Roman" w:hAnsi="Times New Roman"/>
                <w:sz w:val="18"/>
              </w:rPr>
              <w:t>88.0%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sec_01_jwt_auth</w:t>
            </w:r>
          </w:p>
        </w:tc>
        <w:tc>
          <w:tcPr>
            <w:tcW w:type="dxa" w:w="1584"/>
            <w:shd w:fill="FFFFFF"/>
            <w:tcMar>
              <w:top w:w="100" w:type="dxa"/>
              <w:bottom w:w="100" w:type="dxa"/>
              <w:left w:w="120" w:type="dxa"/>
              <w:right w:w="120" w:type="dxa"/>
            </w:tcMar>
          </w:tcPr>
          <w:p>
            <w:pPr>
              <w:jc w:val="center"/>
            </w:pPr>
            <w:r>
              <w:rPr>
                <w:rFonts w:ascii="Times New Roman" w:hAnsi="Times New Roman"/>
                <w:sz w:val="18"/>
              </w:rPr>
              <w:t>Security (JS)</w:t>
            </w:r>
          </w:p>
        </w:tc>
        <w:tc>
          <w:tcPr>
            <w:tcW w:type="dxa" w:w="1152"/>
            <w:shd w:fill="FFFFFF"/>
            <w:tcMar>
              <w:top w:w="100" w:type="dxa"/>
              <w:bottom w:w="100" w:type="dxa"/>
              <w:left w:w="120" w:type="dxa"/>
              <w:right w:w="120" w:type="dxa"/>
            </w:tcMar>
          </w:tcPr>
          <w:p>
            <w:pPr>
              <w:jc w:val="center"/>
            </w:pPr>
            <w:r>
              <w:rPr>
                <w:rFonts w:ascii="Times New Roman" w:hAnsi="Times New Roman"/>
                <w:sz w:val="18"/>
              </w:rPr>
              <w:t>0.7015</w:t>
            </w:r>
          </w:p>
        </w:tc>
        <w:tc>
          <w:tcPr>
            <w:tcW w:type="dxa" w:w="1152"/>
            <w:shd w:fill="FFFFFF"/>
            <w:tcMar>
              <w:top w:w="100" w:type="dxa"/>
              <w:bottom w:w="100" w:type="dxa"/>
              <w:left w:w="120" w:type="dxa"/>
              <w:right w:w="120" w:type="dxa"/>
            </w:tcMar>
          </w:tcPr>
          <w:p>
            <w:pPr>
              <w:jc w:val="center"/>
            </w:pPr>
            <w:r>
              <w:rPr>
                <w:rFonts w:ascii="Times New Roman" w:hAnsi="Times New Roman"/>
                <w:sz w:val="18"/>
              </w:rPr>
              <w:t>0.9592</w:t>
            </w:r>
          </w:p>
        </w:tc>
        <w:tc>
          <w:tcPr>
            <w:tcW w:type="dxa" w:w="1152"/>
            <w:shd w:fill="FFFFFF"/>
            <w:tcMar>
              <w:top w:w="100" w:type="dxa"/>
              <w:bottom w:w="100" w:type="dxa"/>
              <w:left w:w="120" w:type="dxa"/>
              <w:right w:w="120" w:type="dxa"/>
            </w:tcMar>
          </w:tcPr>
          <w:p>
            <w:pPr>
              <w:jc w:val="center"/>
            </w:pPr>
            <w:r>
              <w:rPr>
                <w:rFonts w:ascii="Times New Roman" w:hAnsi="Times New Roman"/>
                <w:b/>
                <w:sz w:val="18"/>
              </w:rPr>
              <w:t>0.8940</w:t>
            </w:r>
          </w:p>
        </w:tc>
        <w:tc>
          <w:tcPr>
            <w:tcW w:type="dxa" w:w="1152"/>
            <w:shd w:fill="FFFFFF"/>
            <w:tcMar>
              <w:top w:w="100" w:type="dxa"/>
              <w:bottom w:w="100" w:type="dxa"/>
              <w:left w:w="120" w:type="dxa"/>
              <w:right w:w="120" w:type="dxa"/>
            </w:tcMar>
          </w:tcPr>
          <w:p>
            <w:pPr>
              <w:jc w:val="center"/>
            </w:pPr>
            <w:r>
              <w:rPr>
                <w:rFonts w:ascii="Times New Roman" w:hAnsi="Times New Roman"/>
                <w:b/>
                <w:sz w:val="18"/>
              </w:rPr>
              <w:t>0.9184</w:t>
            </w:r>
          </w:p>
        </w:tc>
        <w:tc>
          <w:tcPr>
            <w:tcW w:type="dxa" w:w="1296"/>
            <w:shd w:fill="FFFFFF"/>
            <w:tcMar>
              <w:top w:w="100" w:type="dxa"/>
              <w:bottom w:w="100" w:type="dxa"/>
              <w:left w:w="120" w:type="dxa"/>
              <w:right w:w="120" w:type="dxa"/>
            </w:tcMar>
          </w:tcPr>
          <w:p>
            <w:pPr>
              <w:jc w:val="center"/>
            </w:pPr>
            <w:r>
              <w:rPr>
                <w:rFonts w:ascii="Times New Roman" w:hAnsi="Times New Roman"/>
                <w:sz w:val="18"/>
              </w:rPr>
              <w:t>70.0%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sec_04_crypto_vault</w:t>
            </w:r>
          </w:p>
        </w:tc>
        <w:tc>
          <w:tcPr>
            <w:tcW w:type="dxa" w:w="1584"/>
            <w:shd w:fill="F8F9F9"/>
            <w:tcMar>
              <w:top w:w="100" w:type="dxa"/>
              <w:bottom w:w="100" w:type="dxa"/>
              <w:left w:w="120" w:type="dxa"/>
              <w:right w:w="120" w:type="dxa"/>
            </w:tcMar>
          </w:tcPr>
          <w:p>
            <w:pPr>
              <w:jc w:val="center"/>
            </w:pPr>
            <w:r>
              <w:rPr>
                <w:rFonts w:ascii="Times New Roman" w:hAnsi="Times New Roman"/>
                <w:sz w:val="18"/>
              </w:rPr>
              <w:t>Security (TS)</w:t>
            </w:r>
          </w:p>
        </w:tc>
        <w:tc>
          <w:tcPr>
            <w:tcW w:type="dxa" w:w="1152"/>
            <w:shd w:fill="F8F9F9"/>
            <w:tcMar>
              <w:top w:w="100" w:type="dxa"/>
              <w:bottom w:w="100" w:type="dxa"/>
              <w:left w:w="120" w:type="dxa"/>
              <w:right w:w="120" w:type="dxa"/>
            </w:tcMar>
          </w:tcPr>
          <w:p>
            <w:pPr>
              <w:jc w:val="center"/>
            </w:pPr>
            <w:r>
              <w:rPr>
                <w:rFonts w:ascii="Times New Roman" w:hAnsi="Times New Roman"/>
                <w:sz w:val="18"/>
              </w:rPr>
              <w:t>0.9698</w:t>
            </w:r>
          </w:p>
        </w:tc>
        <w:tc>
          <w:tcPr>
            <w:tcW w:type="dxa" w:w="1152"/>
            <w:shd w:fill="F8F9F9"/>
            <w:tcMar>
              <w:top w:w="100" w:type="dxa"/>
              <w:bottom w:w="100" w:type="dxa"/>
              <w:left w:w="120" w:type="dxa"/>
              <w:right w:w="120" w:type="dxa"/>
            </w:tcMar>
          </w:tcPr>
          <w:p>
            <w:pPr>
              <w:jc w:val="center"/>
            </w:pPr>
            <w:r>
              <w:rPr>
                <w:rFonts w:ascii="Times New Roman" w:hAnsi="Times New Roman"/>
                <w:sz w:val="18"/>
              </w:rPr>
              <w:t>0.9545</w:t>
            </w:r>
          </w:p>
        </w:tc>
        <w:tc>
          <w:tcPr>
            <w:tcW w:type="dxa" w:w="1152"/>
            <w:shd w:fill="F8F9F9"/>
            <w:tcMar>
              <w:top w:w="100" w:type="dxa"/>
              <w:bottom w:w="100" w:type="dxa"/>
              <w:left w:w="120" w:type="dxa"/>
              <w:right w:w="120" w:type="dxa"/>
            </w:tcMar>
          </w:tcPr>
          <w:p>
            <w:pPr>
              <w:jc w:val="center"/>
            </w:pPr>
            <w:r>
              <w:rPr>
                <w:rFonts w:ascii="Times New Roman" w:hAnsi="Times New Roman"/>
                <w:b/>
                <w:sz w:val="18"/>
              </w:rPr>
              <w:t>0.9787</w:t>
            </w:r>
          </w:p>
        </w:tc>
        <w:tc>
          <w:tcPr>
            <w:tcW w:type="dxa" w:w="1152"/>
            <w:shd w:fill="F8F9F9"/>
            <w:tcMar>
              <w:top w:w="100" w:type="dxa"/>
              <w:bottom w:w="100" w:type="dxa"/>
              <w:left w:w="120" w:type="dxa"/>
              <w:right w:w="120" w:type="dxa"/>
            </w:tcMar>
          </w:tcPr>
          <w:p>
            <w:pPr>
              <w:jc w:val="center"/>
            </w:pPr>
            <w:r>
              <w:rPr>
                <w:rFonts w:ascii="Times New Roman" w:hAnsi="Times New Roman"/>
                <w:b/>
                <w:sz w:val="18"/>
              </w:rPr>
              <w:t>1.0000</w:t>
            </w:r>
          </w:p>
        </w:tc>
        <w:tc>
          <w:tcPr>
            <w:tcW w:type="dxa" w:w="1296"/>
            <w:shd w:fill="F8F9F9"/>
            <w:tcMar>
              <w:top w:w="100" w:type="dxa"/>
              <w:bottom w:w="100" w:type="dxa"/>
              <w:left w:w="120" w:type="dxa"/>
              <w:right w:w="120" w:type="dxa"/>
            </w:tcMar>
          </w:tcPr>
          <w:p>
            <w:pPr>
              <w:jc w:val="center"/>
            </w:pPr>
            <w:r>
              <w:rPr>
                <w:rFonts w:ascii="Times New Roman" w:hAnsi="Times New Roman"/>
                <w:sz w:val="18"/>
              </w:rPr>
              <w:t>84.0%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data_01_cache_lru</w:t>
            </w:r>
          </w:p>
        </w:tc>
        <w:tc>
          <w:tcPr>
            <w:tcW w:type="dxa" w:w="1584"/>
            <w:shd w:fill="FFFFFF"/>
            <w:tcMar>
              <w:top w:w="100" w:type="dxa"/>
              <w:bottom w:w="100" w:type="dxa"/>
              <w:left w:w="120" w:type="dxa"/>
              <w:right w:w="120" w:type="dxa"/>
            </w:tcMar>
          </w:tcPr>
          <w:p>
            <w:pPr>
              <w:jc w:val="center"/>
            </w:pPr>
            <w:r>
              <w:rPr>
                <w:rFonts w:ascii="Times New Roman" w:hAnsi="Times New Roman"/>
                <w:sz w:val="18"/>
              </w:rPr>
              <w:t>Data State (TS)</w:t>
            </w:r>
          </w:p>
        </w:tc>
        <w:tc>
          <w:tcPr>
            <w:tcW w:type="dxa" w:w="1152"/>
            <w:shd w:fill="FFFFFF"/>
            <w:tcMar>
              <w:top w:w="100" w:type="dxa"/>
              <w:bottom w:w="100" w:type="dxa"/>
              <w:left w:w="120" w:type="dxa"/>
              <w:right w:w="120" w:type="dxa"/>
            </w:tcMar>
          </w:tcPr>
          <w:p>
            <w:pPr>
              <w:jc w:val="center"/>
            </w:pPr>
            <w:r>
              <w:rPr>
                <w:rFonts w:ascii="Times New Roman" w:hAnsi="Times New Roman"/>
                <w:sz w:val="18"/>
              </w:rPr>
              <w:t>0.9744</w:t>
            </w:r>
          </w:p>
        </w:tc>
        <w:tc>
          <w:tcPr>
            <w:tcW w:type="dxa" w:w="1152"/>
            <w:shd w:fill="FFFFFF"/>
            <w:tcMar>
              <w:top w:w="100" w:type="dxa"/>
              <w:bottom w:w="100" w:type="dxa"/>
              <w:left w:w="120" w:type="dxa"/>
              <w:right w:w="120" w:type="dxa"/>
            </w:tcMar>
          </w:tcPr>
          <w:p>
            <w:pPr>
              <w:jc w:val="center"/>
            </w:pPr>
            <w:r>
              <w:rPr>
                <w:rFonts w:ascii="Times New Roman" w:hAnsi="Times New Roman"/>
                <w:sz w:val="18"/>
              </w:rPr>
              <w:t>0.9524</w:t>
            </w:r>
          </w:p>
        </w:tc>
        <w:tc>
          <w:tcPr>
            <w:tcW w:type="dxa" w:w="1152"/>
            <w:shd w:fill="FFFFFF"/>
            <w:tcMar>
              <w:top w:w="100" w:type="dxa"/>
              <w:bottom w:w="100" w:type="dxa"/>
              <w:left w:w="120" w:type="dxa"/>
              <w:right w:w="120" w:type="dxa"/>
            </w:tcMar>
          </w:tcPr>
          <w:p>
            <w:pPr>
              <w:jc w:val="center"/>
            </w:pPr>
            <w:r>
              <w:rPr>
                <w:rFonts w:ascii="Times New Roman" w:hAnsi="Times New Roman"/>
                <w:b/>
                <w:sz w:val="18"/>
              </w:rPr>
              <w:t>0.9735</w:t>
            </w:r>
          </w:p>
        </w:tc>
        <w:tc>
          <w:tcPr>
            <w:tcW w:type="dxa" w:w="1152"/>
            <w:shd w:fill="FFFFFF"/>
            <w:tcMar>
              <w:top w:w="100" w:type="dxa"/>
              <w:bottom w:w="100" w:type="dxa"/>
              <w:left w:w="120" w:type="dxa"/>
              <w:right w:w="120" w:type="dxa"/>
            </w:tcMar>
          </w:tcPr>
          <w:p>
            <w:pPr>
              <w:jc w:val="center"/>
            </w:pPr>
            <w:r>
              <w:rPr>
                <w:rFonts w:ascii="Times New Roman" w:hAnsi="Times New Roman"/>
                <w:b/>
                <w:sz w:val="18"/>
              </w:rPr>
              <w:t>0.9730</w:t>
            </w:r>
          </w:p>
        </w:tc>
        <w:tc>
          <w:tcPr>
            <w:tcW w:type="dxa" w:w="1296"/>
            <w:shd w:fill="FFFFFF"/>
            <w:tcMar>
              <w:top w:w="100" w:type="dxa"/>
              <w:bottom w:w="100" w:type="dxa"/>
              <w:left w:w="120" w:type="dxa"/>
              <w:right w:w="120" w:type="dxa"/>
            </w:tcMar>
          </w:tcPr>
          <w:p>
            <w:pPr>
              <w:jc w:val="center"/>
            </w:pPr>
            <w:r>
              <w:rPr>
                <w:rFonts w:ascii="Times New Roman" w:hAnsi="Times New Roman"/>
                <w:sz w:val="18"/>
              </w:rPr>
              <w:t>80.0%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data_03_state_machine</w:t>
            </w:r>
          </w:p>
        </w:tc>
        <w:tc>
          <w:tcPr>
            <w:tcW w:type="dxa" w:w="1584"/>
            <w:shd w:fill="F8F9F9"/>
            <w:tcMar>
              <w:top w:w="100" w:type="dxa"/>
              <w:bottom w:w="100" w:type="dxa"/>
              <w:left w:w="120" w:type="dxa"/>
              <w:right w:w="120" w:type="dxa"/>
            </w:tcMar>
          </w:tcPr>
          <w:p>
            <w:pPr>
              <w:jc w:val="center"/>
            </w:pPr>
            <w:r>
              <w:rPr>
                <w:rFonts w:ascii="Times New Roman" w:hAnsi="Times New Roman"/>
                <w:sz w:val="18"/>
              </w:rPr>
              <w:t>State Machine (TS)</w:t>
            </w:r>
          </w:p>
        </w:tc>
        <w:tc>
          <w:tcPr>
            <w:tcW w:type="dxa" w:w="1152"/>
            <w:shd w:fill="F8F9F9"/>
            <w:tcMar>
              <w:top w:w="100" w:type="dxa"/>
              <w:bottom w:w="100" w:type="dxa"/>
              <w:left w:w="120" w:type="dxa"/>
              <w:right w:w="120" w:type="dxa"/>
            </w:tcMar>
          </w:tcPr>
          <w:p>
            <w:pPr>
              <w:jc w:val="center"/>
            </w:pPr>
            <w:r>
              <w:rPr>
                <w:rFonts w:ascii="Times New Roman" w:hAnsi="Times New Roman"/>
                <w:sz w:val="18"/>
              </w:rPr>
              <w:t>0.9766</w:t>
            </w:r>
          </w:p>
        </w:tc>
        <w:tc>
          <w:tcPr>
            <w:tcW w:type="dxa" w:w="1152"/>
            <w:shd w:fill="F8F9F9"/>
            <w:tcMar>
              <w:top w:w="100" w:type="dxa"/>
              <w:bottom w:w="100" w:type="dxa"/>
              <w:left w:w="120" w:type="dxa"/>
              <w:right w:w="120" w:type="dxa"/>
            </w:tcMar>
          </w:tcPr>
          <w:p>
            <w:pPr>
              <w:jc w:val="center"/>
            </w:pPr>
            <w:r>
              <w:rPr>
                <w:rFonts w:ascii="Times New Roman" w:hAnsi="Times New Roman"/>
                <w:sz w:val="18"/>
              </w:rPr>
              <w:t>0.9756</w:t>
            </w:r>
          </w:p>
        </w:tc>
        <w:tc>
          <w:tcPr>
            <w:tcW w:type="dxa" w:w="1152"/>
            <w:shd w:fill="F8F9F9"/>
            <w:tcMar>
              <w:top w:w="100" w:type="dxa"/>
              <w:bottom w:w="100" w:type="dxa"/>
              <w:left w:w="120" w:type="dxa"/>
              <w:right w:w="120" w:type="dxa"/>
            </w:tcMar>
          </w:tcPr>
          <w:p>
            <w:pPr>
              <w:jc w:val="center"/>
            </w:pPr>
            <w:r>
              <w:rPr>
                <w:rFonts w:ascii="Times New Roman" w:hAnsi="Times New Roman"/>
                <w:b/>
                <w:sz w:val="18"/>
              </w:rPr>
              <w:t>0.9786</w:t>
            </w:r>
          </w:p>
        </w:tc>
        <w:tc>
          <w:tcPr>
            <w:tcW w:type="dxa" w:w="1152"/>
            <w:shd w:fill="F8F9F9"/>
            <w:tcMar>
              <w:top w:w="100" w:type="dxa"/>
              <w:bottom w:w="100" w:type="dxa"/>
              <w:left w:w="120" w:type="dxa"/>
              <w:right w:w="120" w:type="dxa"/>
            </w:tcMar>
          </w:tcPr>
          <w:p>
            <w:pPr>
              <w:jc w:val="center"/>
            </w:pPr>
            <w:r>
              <w:rPr>
                <w:rFonts w:ascii="Times New Roman" w:hAnsi="Times New Roman"/>
                <w:b/>
                <w:sz w:val="18"/>
              </w:rPr>
              <w:t>0.9600</w:t>
            </w:r>
          </w:p>
        </w:tc>
        <w:tc>
          <w:tcPr>
            <w:tcW w:type="dxa" w:w="1296"/>
            <w:shd w:fill="F8F9F9"/>
            <w:tcMar>
              <w:top w:w="100" w:type="dxa"/>
              <w:bottom w:w="100" w:type="dxa"/>
              <w:left w:w="120" w:type="dxa"/>
              <w:right w:w="120" w:type="dxa"/>
            </w:tcMar>
          </w:tcPr>
          <w:p>
            <w:pPr>
              <w:jc w:val="center"/>
            </w:pPr>
            <w:r>
              <w:rPr>
                <w:rFonts w:ascii="Times New Roman" w:hAnsi="Times New Roman"/>
                <w:sz w:val="18"/>
              </w:rPr>
              <w:t>76.0%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Aggregate Mean ± Std</w:t>
            </w:r>
          </w:p>
        </w:tc>
        <w:tc>
          <w:tcPr>
            <w:tcW w:type="dxa" w:w="1584"/>
            <w:shd w:fill="FFFFFF"/>
            <w:tcMar>
              <w:top w:w="100" w:type="dxa"/>
              <w:bottom w:w="100" w:type="dxa"/>
              <w:left w:w="120" w:type="dxa"/>
              <w:right w:w="120" w:type="dxa"/>
            </w:tcMar>
          </w:tcPr>
          <w:p>
            <w:pPr>
              <w:jc w:val="center"/>
            </w:pPr>
            <w:r>
              <w:rPr>
                <w:rFonts w:ascii="Times New Roman" w:hAnsi="Times New Roman"/>
                <w:sz w:val="18"/>
              </w:rPr>
              <w:t>All Evaluated Domains</w:t>
            </w:r>
          </w:p>
        </w:tc>
        <w:tc>
          <w:tcPr>
            <w:tcW w:type="dxa" w:w="1152"/>
            <w:shd w:fill="FFFFFF"/>
            <w:tcMar>
              <w:top w:w="100" w:type="dxa"/>
              <w:bottom w:w="100" w:type="dxa"/>
              <w:left w:w="120" w:type="dxa"/>
              <w:right w:w="120" w:type="dxa"/>
            </w:tcMar>
          </w:tcPr>
          <w:p>
            <w:pPr>
              <w:jc w:val="center"/>
            </w:pPr>
            <w:r>
              <w:rPr>
                <w:rFonts w:ascii="Times New Roman" w:hAnsi="Times New Roman"/>
                <w:sz w:val="18"/>
              </w:rPr>
              <w:t>0.8370 ± 0.1437</w:t>
            </w:r>
          </w:p>
        </w:tc>
        <w:tc>
          <w:tcPr>
            <w:tcW w:type="dxa" w:w="1152"/>
            <w:shd w:fill="FFFFFF"/>
            <w:tcMar>
              <w:top w:w="100" w:type="dxa"/>
              <w:bottom w:w="100" w:type="dxa"/>
              <w:left w:w="120" w:type="dxa"/>
              <w:right w:w="120" w:type="dxa"/>
            </w:tcMar>
          </w:tcPr>
          <w:p>
            <w:pPr>
              <w:jc w:val="center"/>
            </w:pPr>
            <w:r>
              <w:rPr>
                <w:rFonts w:ascii="Times New Roman" w:hAnsi="Times New Roman"/>
                <w:sz w:val="18"/>
              </w:rPr>
              <w:t>0.8299 ± 0.1945</w:t>
            </w:r>
          </w:p>
        </w:tc>
        <w:tc>
          <w:tcPr>
            <w:tcW w:type="dxa" w:w="1152"/>
            <w:shd w:fill="FFFFFF"/>
            <w:tcMar>
              <w:top w:w="100" w:type="dxa"/>
              <w:bottom w:w="100" w:type="dxa"/>
              <w:left w:w="120" w:type="dxa"/>
              <w:right w:w="120" w:type="dxa"/>
            </w:tcMar>
          </w:tcPr>
          <w:p>
            <w:pPr>
              <w:jc w:val="center"/>
            </w:pPr>
            <w:r>
              <w:rPr>
                <w:rFonts w:ascii="Times New Roman" w:hAnsi="Times New Roman"/>
                <w:b/>
                <w:sz w:val="18"/>
              </w:rPr>
              <w:t>0.9400 ± 0.0514</w:t>
            </w:r>
          </w:p>
        </w:tc>
        <w:tc>
          <w:tcPr>
            <w:tcW w:type="dxa" w:w="1152"/>
            <w:shd w:fill="FFFFFF"/>
            <w:tcMar>
              <w:top w:w="100" w:type="dxa"/>
              <w:bottom w:w="100" w:type="dxa"/>
              <w:left w:w="120" w:type="dxa"/>
              <w:right w:w="120" w:type="dxa"/>
            </w:tcMar>
          </w:tcPr>
          <w:p>
            <w:pPr>
              <w:jc w:val="center"/>
            </w:pPr>
            <w:r>
              <w:rPr>
                <w:rFonts w:ascii="Times New Roman" w:hAnsi="Times New Roman"/>
                <w:b/>
                <w:sz w:val="18"/>
              </w:rPr>
              <w:t>0.9471 ± 0.0479</w:t>
            </w:r>
          </w:p>
        </w:tc>
        <w:tc>
          <w:tcPr>
            <w:tcW w:type="dxa" w:w="1296"/>
            <w:shd w:fill="FFFFFF"/>
            <w:tcMar>
              <w:top w:w="100" w:type="dxa"/>
              <w:bottom w:w="100" w:type="dxa"/>
              <w:left w:w="120" w:type="dxa"/>
              <w:right w:w="120" w:type="dxa"/>
            </w:tcMar>
          </w:tcPr>
          <w:p>
            <w:pPr>
              <w:jc w:val="center"/>
            </w:pPr>
            <w:r>
              <w:rPr>
                <w:rFonts w:ascii="Times New Roman" w:hAnsi="Times New Roman"/>
                <w:b/>
                <w:sz w:val="18"/>
              </w:rPr>
              <w:t>82.1% ± 8.2%</w:t>
            </w:r>
          </w:p>
        </w:tc>
      </w:tr>
    </w:tbl>
    <w:p>
      <w:pPr>
        <w:spacing w:before="80" w:after="160"/>
      </w:pPr>
    </w:p>
    <w:p>
      <w:pPr>
        <w:spacing w:before="0" w:after="160" w:line="276" w:lineRule="auto"/>
        <w:jc w:val="both"/>
      </w:pPr>
      <w:r>
        <w:rPr>
          <w:rFonts w:ascii="Times New Roman" w:hAnsi="Times New Roman"/>
          <w:sz w:val="20"/>
        </w:rPr>
        <w:t>Statistical Significance &amp; Hypothesis Validation: A paired Wilcoxon signed-rank test confirms that the structural gain achieved by Two-Stage Decoupling (Condition E, mean 0.9400 ± 0.0514) over direct zero-shot conditioning (Condition D, mean 0.8370 ± 0.1437) is statistically significant (W = 6.0, p = 0.0273 &lt; 0.05). Paired t-testing yields t = 2.9886, p = 0.0152, rejecting the null hypothesis of topological equivalence.</w:t>
      </w:r>
    </w:p>
    <w:p>
      <w:pPr>
        <w:keepNext/>
        <w:spacing w:before="240" w:after="80"/>
      </w:pPr>
      <w:r>
        <w:rPr>
          <w:rFonts w:ascii="Times New Roman" w:hAnsi="Times New Roman"/>
          <w:b/>
          <w:sz w:val="22"/>
        </w:rPr>
        <w:t>4.2 Tier 2: Cloud Frontier Flagship Telemetry (Remote Cloud APIs)</w:t>
      </w:r>
    </w:p>
    <w:p>
      <w:pPr>
        <w:spacing w:before="0" w:after="80" w:line="276" w:lineRule="auto"/>
        <w:jc w:val="both"/>
      </w:pPr>
      <w:r>
        <w:rPr>
          <w:rFonts w:ascii="Times New Roman" w:hAnsi="Times New Roman"/>
          <w:sz w:val="20"/>
        </w:rPr>
        <w:t>Table 2 presents empirical telemetry for Ultra-Scale Cloud Frontier Flagship Models evaluated via OpenRouter APIs using NVIDIA Nemotron-3 550B Ultra. Metrics evaluate prompt presentation noise reduction (N_filter %), AST structural divergence, and end-to-end API pipeline latency.</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fill="EAECEE"/>
            <w:tcMar>
              <w:top w:w="120" w:type="dxa"/>
              <w:bottom w:w="120" w:type="dxa"/>
              <w:left w:w="140" w:type="dxa"/>
              <w:right w:w="140" w:type="dxa"/>
            </w:tcMar>
          </w:tcPr>
          <w:p>
            <w:pPr>
              <w:jc w:val="center"/>
            </w:pPr>
            <w:r>
              <w:rPr>
                <w:rFonts w:ascii="Times New Roman" w:hAnsi="Times New Roman"/>
                <w:b/>
                <w:sz w:val="19"/>
              </w:rPr>
              <w:t>Benchmark Target</w:t>
            </w:r>
          </w:p>
        </w:tc>
        <w:tc>
          <w:tcPr>
            <w:tcW w:type="dxa" w:w="1584"/>
            <w:shd w:fill="EAECEE"/>
            <w:tcMar>
              <w:top w:w="120" w:type="dxa"/>
              <w:bottom w:w="120" w:type="dxa"/>
              <w:left w:w="140" w:type="dxa"/>
              <w:right w:w="140" w:type="dxa"/>
            </w:tcMar>
          </w:tcPr>
          <w:p>
            <w:pPr>
              <w:jc w:val="center"/>
            </w:pPr>
            <w:r>
              <w:rPr>
                <w:rFonts w:ascii="Times New Roman" w:hAnsi="Times New Roman"/>
                <w:b/>
                <w:sz w:val="19"/>
              </w:rPr>
              <w:t>Domain &amp; LOC</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D (Zero-Shot)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CoT</w:t>
            </w:r>
          </w:p>
        </w:tc>
        <w:tc>
          <w:tcPr>
            <w:tcW w:type="dxa" w:w="1152"/>
            <w:shd w:fill="EAECEE"/>
            <w:tcMar>
              <w:top w:w="120" w:type="dxa"/>
              <w:bottom w:w="120" w:type="dxa"/>
              <w:left w:w="140" w:type="dxa"/>
              <w:right w:w="140" w:type="dxa"/>
            </w:tcMar>
          </w:tcPr>
          <w:p>
            <w:pPr>
              <w:jc w:val="center"/>
            </w:pPr>
            <w:r>
              <w:rPr>
                <w:rFonts w:ascii="Times New Roman" w:hAnsi="Times New Roman"/>
                <w:b/>
                <w:sz w:val="19"/>
              </w:rPr>
              <w:t>Cond Reflexion</w:t>
            </w:r>
          </w:p>
        </w:tc>
        <w:tc>
          <w:tcPr>
            <w:tcW w:type="dxa" w:w="1296"/>
            <w:shd w:fill="EAECEE"/>
            <w:tcMar>
              <w:top w:w="120" w:type="dxa"/>
              <w:bottom w:w="120" w:type="dxa"/>
              <w:left w:w="140" w:type="dxa"/>
              <w:right w:w="140" w:type="dxa"/>
            </w:tcMar>
          </w:tcPr>
          <w:p>
            <w:pPr>
              <w:jc w:val="center"/>
            </w:pPr>
            <w:r>
              <w:rPr>
                <w:rFonts w:ascii="Times New Roman" w:hAnsi="Times New Roman"/>
                <w:b/>
                <w:sz w:val="19"/>
              </w:rPr>
              <w:t>Cond E (Deanchor)</w:t>
            </w:r>
          </w:p>
        </w:tc>
        <w:tc>
          <w:tcPr>
            <w:tcW w:type="dxa" w:w="1296"/>
            <w:shd w:fill="EAECEE"/>
            <w:tcMar>
              <w:top w:w="120" w:type="dxa"/>
              <w:bottom w:w="120" w:type="dxa"/>
              <w:left w:w="140" w:type="dxa"/>
              <w:right w:w="140" w:type="dxa"/>
            </w:tcMar>
          </w:tcPr>
          <w:p>
            <w:pPr>
              <w:jc w:val="center"/>
            </w:pPr>
            <w:r>
              <w:rPr>
                <w:rFonts w:ascii="Times New Roman" w:hAnsi="Times New Roman"/>
                <w:b/>
                <w:sz w:val="19"/>
              </w:rPr>
              <w:t>Noise Filtered</w:t>
            </w:r>
          </w:p>
        </w:tc>
      </w:tr>
      <w:tr>
        <w:tc>
          <w:tcPr>
            <w:tcW w:type="dxa" w:w="2016"/>
            <w:shd w:fill="FFFFFF"/>
            <w:tcMar>
              <w:top w:w="100" w:type="dxa"/>
              <w:bottom w:w="100" w:type="dxa"/>
              <w:left w:w="120" w:type="dxa"/>
              <w:right w:w="120" w:type="dxa"/>
            </w:tcMar>
          </w:tcPr>
          <w:p>
            <w:pPr>
              <w:jc w:val="left"/>
            </w:pPr>
            <w:r>
              <w:rPr>
                <w:rFonts w:ascii="Times New Roman" w:hAnsi="Times New Roman"/>
                <w:sz w:val="18"/>
              </w:rPr>
              <w:t>ui_01_portfolio</w:t>
            </w:r>
          </w:p>
        </w:tc>
        <w:tc>
          <w:tcPr>
            <w:tcW w:type="dxa" w:w="1584"/>
            <w:shd w:fill="FFFFFF"/>
            <w:tcMar>
              <w:top w:w="100" w:type="dxa"/>
              <w:bottom w:w="100" w:type="dxa"/>
              <w:left w:w="120" w:type="dxa"/>
              <w:right w:w="120" w:type="dxa"/>
            </w:tcMar>
          </w:tcPr>
          <w:p>
            <w:pPr>
              <w:jc w:val="center"/>
            </w:pPr>
            <w:r>
              <w:rPr>
                <w:rFonts w:ascii="Times New Roman" w:hAnsi="Times New Roman"/>
                <w:sz w:val="18"/>
              </w:rPr>
              <w:t>Frontend (607 LOC)</w:t>
            </w:r>
          </w:p>
        </w:tc>
        <w:tc>
          <w:tcPr>
            <w:tcW w:type="dxa" w:w="1152"/>
            <w:shd w:fill="FFFFFF"/>
            <w:tcMar>
              <w:top w:w="100" w:type="dxa"/>
              <w:bottom w:w="100" w:type="dxa"/>
              <w:left w:w="120" w:type="dxa"/>
              <w:right w:w="120" w:type="dxa"/>
            </w:tcMar>
          </w:tcPr>
          <w:p>
            <w:pPr>
              <w:jc w:val="center"/>
            </w:pPr>
            <w:r>
              <w:rPr>
                <w:rFonts w:ascii="Times New Roman" w:hAnsi="Times New Roman"/>
                <w:sz w:val="18"/>
              </w:rPr>
              <w:t>0.8898</w:t>
            </w:r>
          </w:p>
        </w:tc>
        <w:tc>
          <w:tcPr>
            <w:tcW w:type="dxa" w:w="1152"/>
            <w:shd w:fill="FFFFFF"/>
            <w:tcMar>
              <w:top w:w="100" w:type="dxa"/>
              <w:bottom w:w="100" w:type="dxa"/>
              <w:left w:w="120" w:type="dxa"/>
              <w:right w:w="120" w:type="dxa"/>
            </w:tcMar>
          </w:tcPr>
          <w:p>
            <w:pPr>
              <w:jc w:val="center"/>
            </w:pPr>
            <w:r>
              <w:rPr>
                <w:rFonts w:ascii="Times New Roman" w:hAnsi="Times New Roman"/>
                <w:sz w:val="18"/>
              </w:rPr>
              <w:t>0.9214</w:t>
            </w:r>
          </w:p>
        </w:tc>
        <w:tc>
          <w:tcPr>
            <w:tcW w:type="dxa" w:w="1152"/>
            <w:shd w:fill="FFFFFF"/>
            <w:tcMar>
              <w:top w:w="100" w:type="dxa"/>
              <w:bottom w:w="100" w:type="dxa"/>
              <w:left w:w="120" w:type="dxa"/>
              <w:right w:w="120" w:type="dxa"/>
            </w:tcMar>
          </w:tcPr>
          <w:p>
            <w:pPr>
              <w:jc w:val="center"/>
            </w:pPr>
            <w:r>
              <w:rPr>
                <w:rFonts w:ascii="Times New Roman" w:hAnsi="Times New Roman"/>
                <w:sz w:val="18"/>
              </w:rPr>
              <w:t>0.9224</w:t>
            </w:r>
          </w:p>
        </w:tc>
        <w:tc>
          <w:tcPr>
            <w:tcW w:type="dxa" w:w="1296"/>
            <w:shd w:fill="FFFFFF"/>
            <w:tcMar>
              <w:top w:w="100" w:type="dxa"/>
              <w:bottom w:w="100" w:type="dxa"/>
              <w:left w:w="120" w:type="dxa"/>
              <w:right w:w="120" w:type="dxa"/>
            </w:tcMar>
          </w:tcPr>
          <w:p>
            <w:pPr>
              <w:jc w:val="center"/>
            </w:pPr>
            <w:r>
              <w:rPr>
                <w:rFonts w:ascii="Times New Roman" w:hAnsi="Times New Roman"/>
                <w:b/>
                <w:sz w:val="18"/>
              </w:rPr>
              <w:t>0.9261</w:t>
            </w:r>
          </w:p>
        </w:tc>
        <w:tc>
          <w:tcPr>
            <w:tcW w:type="dxa" w:w="1296"/>
            <w:shd w:fill="FFFFFF"/>
            <w:tcMar>
              <w:top w:w="100" w:type="dxa"/>
              <w:bottom w:w="100" w:type="dxa"/>
              <w:left w:w="120" w:type="dxa"/>
              <w:right w:w="120" w:type="dxa"/>
            </w:tcMar>
          </w:tcPr>
          <w:p>
            <w:pPr>
              <w:jc w:val="center"/>
            </w:pPr>
            <w:r>
              <w:rPr>
                <w:rFonts w:ascii="Times New Roman" w:hAnsi="Times New Roman"/>
                <w:b/>
                <w:sz w:val="18"/>
              </w:rPr>
              <w:t>81.8%</w:t>
            </w:r>
          </w:p>
        </w:tc>
      </w:tr>
      <w:tr>
        <w:tc>
          <w:tcPr>
            <w:tcW w:type="dxa" w:w="2016"/>
            <w:shd w:fill="F8F9F9"/>
            <w:tcMar>
              <w:top w:w="100" w:type="dxa"/>
              <w:bottom w:w="100" w:type="dxa"/>
              <w:left w:w="120" w:type="dxa"/>
              <w:right w:w="120" w:type="dxa"/>
            </w:tcMar>
          </w:tcPr>
          <w:p>
            <w:pPr>
              <w:jc w:val="left"/>
            </w:pPr>
            <w:r>
              <w:rPr>
                <w:rFonts w:ascii="Times New Roman" w:hAnsi="Times New Roman"/>
                <w:sz w:val="18"/>
              </w:rPr>
              <w:t>ui_06_secops_dashboard</w:t>
            </w:r>
          </w:p>
        </w:tc>
        <w:tc>
          <w:tcPr>
            <w:tcW w:type="dxa" w:w="1584"/>
            <w:shd w:fill="F8F9F9"/>
            <w:tcMar>
              <w:top w:w="100" w:type="dxa"/>
              <w:bottom w:w="100" w:type="dxa"/>
              <w:left w:w="120" w:type="dxa"/>
              <w:right w:w="120" w:type="dxa"/>
            </w:tcMar>
          </w:tcPr>
          <w:p>
            <w:pPr>
              <w:jc w:val="center"/>
            </w:pPr>
            <w:r>
              <w:rPr>
                <w:rFonts w:ascii="Times New Roman" w:hAnsi="Times New Roman"/>
                <w:sz w:val="18"/>
              </w:rPr>
              <w:t>Frontend (1,465 LOC)</w:t>
            </w:r>
          </w:p>
        </w:tc>
        <w:tc>
          <w:tcPr>
            <w:tcW w:type="dxa" w:w="1152"/>
            <w:shd w:fill="F8F9F9"/>
            <w:tcMar>
              <w:top w:w="100" w:type="dxa"/>
              <w:bottom w:w="100" w:type="dxa"/>
              <w:left w:w="120" w:type="dxa"/>
              <w:right w:w="120" w:type="dxa"/>
            </w:tcMar>
          </w:tcPr>
          <w:p>
            <w:pPr>
              <w:jc w:val="center"/>
            </w:pPr>
            <w:r>
              <w:rPr>
                <w:rFonts w:ascii="Times New Roman" w:hAnsi="Times New Roman"/>
                <w:sz w:val="18"/>
              </w:rPr>
              <w:t>0.8866</w:t>
            </w:r>
          </w:p>
        </w:tc>
        <w:tc>
          <w:tcPr>
            <w:tcW w:type="dxa" w:w="1152"/>
            <w:shd w:fill="F8F9F9"/>
            <w:tcMar>
              <w:top w:w="100" w:type="dxa"/>
              <w:bottom w:w="100" w:type="dxa"/>
              <w:left w:w="120" w:type="dxa"/>
              <w:right w:w="120" w:type="dxa"/>
            </w:tcMar>
          </w:tcPr>
          <w:p>
            <w:pPr>
              <w:jc w:val="center"/>
            </w:pPr>
            <w:r>
              <w:rPr>
                <w:rFonts w:ascii="Times New Roman" w:hAnsi="Times New Roman"/>
                <w:sz w:val="18"/>
              </w:rPr>
              <w:t>0.9281</w:t>
            </w:r>
          </w:p>
        </w:tc>
        <w:tc>
          <w:tcPr>
            <w:tcW w:type="dxa" w:w="1152"/>
            <w:shd w:fill="F8F9F9"/>
            <w:tcMar>
              <w:top w:w="100" w:type="dxa"/>
              <w:bottom w:w="100" w:type="dxa"/>
              <w:left w:w="120" w:type="dxa"/>
              <w:right w:w="120" w:type="dxa"/>
            </w:tcMar>
          </w:tcPr>
          <w:p>
            <w:pPr>
              <w:jc w:val="center"/>
            </w:pPr>
            <w:r>
              <w:rPr>
                <w:rFonts w:ascii="Times New Roman" w:hAnsi="Times New Roman"/>
                <w:sz w:val="18"/>
              </w:rPr>
              <w:t>0.8995</w:t>
            </w:r>
          </w:p>
        </w:tc>
        <w:tc>
          <w:tcPr>
            <w:tcW w:type="dxa" w:w="1296"/>
            <w:shd w:fill="F8F9F9"/>
            <w:tcMar>
              <w:top w:w="100" w:type="dxa"/>
              <w:bottom w:w="100" w:type="dxa"/>
              <w:left w:w="120" w:type="dxa"/>
              <w:right w:w="120" w:type="dxa"/>
            </w:tcMar>
          </w:tcPr>
          <w:p>
            <w:pPr>
              <w:jc w:val="center"/>
            </w:pPr>
            <w:r>
              <w:rPr>
                <w:rFonts w:ascii="Times New Roman" w:hAnsi="Times New Roman"/>
                <w:b/>
                <w:sz w:val="18"/>
              </w:rPr>
              <w:t>0.9714</w:t>
            </w:r>
          </w:p>
        </w:tc>
        <w:tc>
          <w:tcPr>
            <w:tcW w:type="dxa" w:w="1296"/>
            <w:shd w:fill="F8F9F9"/>
            <w:tcMar>
              <w:top w:w="100" w:type="dxa"/>
              <w:bottom w:w="100" w:type="dxa"/>
              <w:left w:w="120" w:type="dxa"/>
              <w:right w:w="120" w:type="dxa"/>
            </w:tcMar>
          </w:tcPr>
          <w:p>
            <w:pPr>
              <w:jc w:val="center"/>
            </w:pPr>
            <w:r>
              <w:rPr>
                <w:rFonts w:ascii="Times New Roman" w:hAnsi="Times New Roman"/>
                <w:b/>
                <w:sz w:val="18"/>
              </w:rPr>
              <w:t>88.0%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algo_01_orderbook</w:t>
            </w:r>
          </w:p>
        </w:tc>
        <w:tc>
          <w:tcPr>
            <w:tcW w:type="dxa" w:w="1584"/>
            <w:shd w:fill="FFFFFF"/>
            <w:tcMar>
              <w:top w:w="100" w:type="dxa"/>
              <w:bottom w:w="100" w:type="dxa"/>
              <w:left w:w="120" w:type="dxa"/>
              <w:right w:w="120" w:type="dxa"/>
            </w:tcMar>
          </w:tcPr>
          <w:p>
            <w:pPr>
              <w:jc w:val="center"/>
            </w:pPr>
            <w:r>
              <w:rPr>
                <w:rFonts w:ascii="Times New Roman" w:hAnsi="Times New Roman"/>
                <w:sz w:val="18"/>
              </w:rPr>
              <w:t>Fintech (1,172 LOC)</w:t>
            </w:r>
          </w:p>
        </w:tc>
        <w:tc>
          <w:tcPr>
            <w:tcW w:type="dxa" w:w="1152"/>
            <w:shd w:fill="FFFFFF"/>
            <w:tcMar>
              <w:top w:w="100" w:type="dxa"/>
              <w:bottom w:w="100" w:type="dxa"/>
              <w:left w:w="120" w:type="dxa"/>
              <w:right w:w="120" w:type="dxa"/>
            </w:tcMar>
          </w:tcPr>
          <w:p>
            <w:pPr>
              <w:jc w:val="center"/>
            </w:pPr>
            <w:r>
              <w:rPr>
                <w:rFonts w:ascii="Times New Roman" w:hAnsi="Times New Roman"/>
                <w:sz w:val="18"/>
              </w:rPr>
              <w:t>0.7835</w:t>
            </w:r>
          </w:p>
        </w:tc>
        <w:tc>
          <w:tcPr>
            <w:tcW w:type="dxa" w:w="1152"/>
            <w:shd w:fill="FFFFFF"/>
            <w:tcMar>
              <w:top w:w="100" w:type="dxa"/>
              <w:bottom w:w="100" w:type="dxa"/>
              <w:left w:w="120" w:type="dxa"/>
              <w:right w:w="120" w:type="dxa"/>
            </w:tcMar>
          </w:tcPr>
          <w:p>
            <w:pPr>
              <w:jc w:val="center"/>
            </w:pPr>
            <w:r>
              <w:rPr>
                <w:rFonts w:ascii="Times New Roman" w:hAnsi="Times New Roman"/>
                <w:sz w:val="18"/>
              </w:rPr>
              <w:t>0.8837</w:t>
            </w:r>
          </w:p>
        </w:tc>
        <w:tc>
          <w:tcPr>
            <w:tcW w:type="dxa" w:w="1152"/>
            <w:shd w:fill="FFFFFF"/>
            <w:tcMar>
              <w:top w:w="100" w:type="dxa"/>
              <w:bottom w:w="100" w:type="dxa"/>
              <w:left w:w="120" w:type="dxa"/>
              <w:right w:w="120" w:type="dxa"/>
            </w:tcMar>
          </w:tcPr>
          <w:p>
            <w:pPr>
              <w:jc w:val="center"/>
            </w:pPr>
            <w:r>
              <w:rPr>
                <w:rFonts w:ascii="Times New Roman" w:hAnsi="Times New Roman"/>
                <w:sz w:val="18"/>
              </w:rPr>
              <w:t>0.8596</w:t>
            </w:r>
          </w:p>
        </w:tc>
        <w:tc>
          <w:tcPr>
            <w:tcW w:type="dxa" w:w="1296"/>
            <w:shd w:fill="FFFFFF"/>
            <w:tcMar>
              <w:top w:w="100" w:type="dxa"/>
              <w:bottom w:w="100" w:type="dxa"/>
              <w:left w:w="120" w:type="dxa"/>
              <w:right w:w="120" w:type="dxa"/>
            </w:tcMar>
          </w:tcPr>
          <w:p>
            <w:pPr>
              <w:jc w:val="center"/>
            </w:pPr>
            <w:r>
              <w:rPr>
                <w:rFonts w:ascii="Times New Roman" w:hAnsi="Times New Roman"/>
                <w:b/>
                <w:sz w:val="18"/>
              </w:rPr>
              <w:t>0.8376</w:t>
            </w:r>
          </w:p>
        </w:tc>
        <w:tc>
          <w:tcPr>
            <w:tcW w:type="dxa" w:w="1296"/>
            <w:shd w:fill="FFFFFF"/>
            <w:tcMar>
              <w:top w:w="100" w:type="dxa"/>
              <w:bottom w:w="100" w:type="dxa"/>
              <w:left w:w="120" w:type="dxa"/>
              <w:right w:w="120" w:type="dxa"/>
            </w:tcMar>
          </w:tcPr>
          <w:p>
            <w:pPr>
              <w:jc w:val="center"/>
            </w:pPr>
            <w:r>
              <w:rPr>
                <w:rFonts w:ascii="Times New Roman" w:hAnsi="Times New Roman"/>
                <w:b/>
                <w:sz w:val="18"/>
              </w:rPr>
              <w:t>85.2%</w:t>
            </w:r>
          </w:p>
        </w:tc>
      </w:tr>
      <w:tr>
        <w:tc>
          <w:tcPr>
            <w:tcW w:type="dxa" w:w="2016"/>
            <w:shd w:fill="F8F9F9"/>
            <w:tcMar>
              <w:top w:w="100" w:type="dxa"/>
              <w:bottom w:w="100" w:type="dxa"/>
              <w:left w:w="120" w:type="dxa"/>
              <w:right w:w="120" w:type="dxa"/>
            </w:tcMar>
          </w:tcPr>
          <w:p>
            <w:pPr>
              <w:jc w:val="left"/>
            </w:pPr>
            <w:r>
              <w:rPr>
                <w:rFonts w:ascii="Times New Roman" w:hAnsi="Times New Roman"/>
                <w:sz w:val="18"/>
              </w:rPr>
              <w:t>algo_03_graph_pathfinder</w:t>
            </w:r>
          </w:p>
        </w:tc>
        <w:tc>
          <w:tcPr>
            <w:tcW w:type="dxa" w:w="1584"/>
            <w:shd w:fill="F8F9F9"/>
            <w:tcMar>
              <w:top w:w="100" w:type="dxa"/>
              <w:bottom w:w="100" w:type="dxa"/>
              <w:left w:w="120" w:type="dxa"/>
              <w:right w:w="120" w:type="dxa"/>
            </w:tcMar>
          </w:tcPr>
          <w:p>
            <w:pPr>
              <w:jc w:val="center"/>
            </w:pPr>
            <w:r>
              <w:rPr>
                <w:rFonts w:ascii="Times New Roman" w:hAnsi="Times New Roman"/>
                <w:sz w:val="18"/>
              </w:rPr>
              <w:t>Fintech (950 LOC)</w:t>
            </w:r>
          </w:p>
        </w:tc>
        <w:tc>
          <w:tcPr>
            <w:tcW w:type="dxa" w:w="1152"/>
            <w:shd w:fill="F8F9F9"/>
            <w:tcMar>
              <w:top w:w="100" w:type="dxa"/>
              <w:bottom w:w="100" w:type="dxa"/>
              <w:left w:w="120" w:type="dxa"/>
              <w:right w:w="120" w:type="dxa"/>
            </w:tcMar>
          </w:tcPr>
          <w:p>
            <w:pPr>
              <w:jc w:val="center"/>
            </w:pPr>
            <w:r>
              <w:rPr>
                <w:rFonts w:ascii="Times New Roman" w:hAnsi="Times New Roman"/>
                <w:sz w:val="18"/>
              </w:rPr>
              <w:t>0.9531</w:t>
            </w:r>
          </w:p>
        </w:tc>
        <w:tc>
          <w:tcPr>
            <w:tcW w:type="dxa" w:w="1152"/>
            <w:shd w:fill="F8F9F9"/>
            <w:tcMar>
              <w:top w:w="100" w:type="dxa"/>
              <w:bottom w:w="100" w:type="dxa"/>
              <w:left w:w="120" w:type="dxa"/>
              <w:right w:w="120" w:type="dxa"/>
            </w:tcMar>
          </w:tcPr>
          <w:p>
            <w:pPr>
              <w:jc w:val="center"/>
            </w:pPr>
            <w:r>
              <w:rPr>
                <w:rFonts w:ascii="Times New Roman" w:hAnsi="Times New Roman"/>
                <w:sz w:val="18"/>
              </w:rPr>
              <w:t>0.9264</w:t>
            </w:r>
          </w:p>
        </w:tc>
        <w:tc>
          <w:tcPr>
            <w:tcW w:type="dxa" w:w="1152"/>
            <w:shd w:fill="F8F9F9"/>
            <w:tcMar>
              <w:top w:w="100" w:type="dxa"/>
              <w:bottom w:w="100" w:type="dxa"/>
              <w:left w:w="120" w:type="dxa"/>
              <w:right w:w="120" w:type="dxa"/>
            </w:tcMar>
          </w:tcPr>
          <w:p>
            <w:pPr>
              <w:jc w:val="center"/>
            </w:pPr>
            <w:r>
              <w:rPr>
                <w:rFonts w:ascii="Times New Roman" w:hAnsi="Times New Roman"/>
                <w:sz w:val="18"/>
              </w:rPr>
              <w:t>0.9627</w:t>
            </w:r>
          </w:p>
        </w:tc>
        <w:tc>
          <w:tcPr>
            <w:tcW w:type="dxa" w:w="1296"/>
            <w:shd w:fill="F8F9F9"/>
            <w:tcMar>
              <w:top w:w="100" w:type="dxa"/>
              <w:bottom w:w="100" w:type="dxa"/>
              <w:left w:w="120" w:type="dxa"/>
              <w:right w:w="120" w:type="dxa"/>
            </w:tcMar>
          </w:tcPr>
          <w:p>
            <w:pPr>
              <w:jc w:val="center"/>
            </w:pPr>
            <w:r>
              <w:rPr>
                <w:rFonts w:ascii="Times New Roman" w:hAnsi="Times New Roman"/>
                <w:b/>
                <w:sz w:val="18"/>
              </w:rPr>
              <w:t>0.9767</w:t>
            </w:r>
          </w:p>
        </w:tc>
        <w:tc>
          <w:tcPr>
            <w:tcW w:type="dxa" w:w="1296"/>
            <w:shd w:fill="F8F9F9"/>
            <w:tcMar>
              <w:top w:w="100" w:type="dxa"/>
              <w:bottom w:w="100" w:type="dxa"/>
              <w:left w:w="120" w:type="dxa"/>
              <w:right w:w="120" w:type="dxa"/>
            </w:tcMar>
          </w:tcPr>
          <w:p>
            <w:pPr>
              <w:jc w:val="center"/>
            </w:pPr>
            <w:r>
              <w:rPr>
                <w:rFonts w:ascii="Times New Roman" w:hAnsi="Times New Roman"/>
                <w:sz w:val="18"/>
              </w:rPr>
              <w:t>0.0%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micro_01_webhook_dispatcher</w:t>
            </w:r>
          </w:p>
        </w:tc>
        <w:tc>
          <w:tcPr>
            <w:tcW w:type="dxa" w:w="1584"/>
            <w:shd w:fill="FFFFFF"/>
            <w:tcMar>
              <w:top w:w="100" w:type="dxa"/>
              <w:bottom w:w="100" w:type="dxa"/>
              <w:left w:w="120" w:type="dxa"/>
              <w:right w:w="120" w:type="dxa"/>
            </w:tcMar>
          </w:tcPr>
          <w:p>
            <w:pPr>
              <w:jc w:val="center"/>
            </w:pPr>
            <w:r>
              <w:rPr>
                <w:rFonts w:ascii="Times New Roman" w:hAnsi="Times New Roman"/>
                <w:sz w:val="18"/>
              </w:rPr>
              <w:t>Microservices (61 LOC)</w:t>
            </w:r>
          </w:p>
        </w:tc>
        <w:tc>
          <w:tcPr>
            <w:tcW w:type="dxa" w:w="1152"/>
            <w:shd w:fill="FFFFFF"/>
            <w:tcMar>
              <w:top w:w="100" w:type="dxa"/>
              <w:bottom w:w="100" w:type="dxa"/>
              <w:left w:w="120" w:type="dxa"/>
              <w:right w:w="120" w:type="dxa"/>
            </w:tcMar>
          </w:tcPr>
          <w:p>
            <w:pPr>
              <w:jc w:val="center"/>
            </w:pPr>
            <w:r>
              <w:rPr>
                <w:rFonts w:ascii="Times New Roman" w:hAnsi="Times New Roman"/>
                <w:sz w:val="18"/>
              </w:rPr>
              <w:t>0.9442</w:t>
            </w:r>
          </w:p>
        </w:tc>
        <w:tc>
          <w:tcPr>
            <w:tcW w:type="dxa" w:w="1152"/>
            <w:shd w:fill="FFFFFF"/>
            <w:tcMar>
              <w:top w:w="100" w:type="dxa"/>
              <w:bottom w:w="100" w:type="dxa"/>
              <w:left w:w="120" w:type="dxa"/>
              <w:right w:w="120" w:type="dxa"/>
            </w:tcMar>
          </w:tcPr>
          <w:p>
            <w:pPr>
              <w:jc w:val="center"/>
            </w:pPr>
            <w:r>
              <w:rPr>
                <w:rFonts w:ascii="Times New Roman" w:hAnsi="Times New Roman"/>
                <w:sz w:val="18"/>
              </w:rPr>
              <w:t>0.9317</w:t>
            </w:r>
          </w:p>
        </w:tc>
        <w:tc>
          <w:tcPr>
            <w:tcW w:type="dxa" w:w="1152"/>
            <w:shd w:fill="FFFFFF"/>
            <w:tcMar>
              <w:top w:w="100" w:type="dxa"/>
              <w:bottom w:w="100" w:type="dxa"/>
              <w:left w:w="120" w:type="dxa"/>
              <w:right w:w="120" w:type="dxa"/>
            </w:tcMar>
          </w:tcPr>
          <w:p>
            <w:pPr>
              <w:jc w:val="center"/>
            </w:pPr>
            <w:r>
              <w:rPr>
                <w:rFonts w:ascii="Times New Roman" w:hAnsi="Times New Roman"/>
                <w:sz w:val="18"/>
              </w:rPr>
              <w:t>0.9168</w:t>
            </w:r>
          </w:p>
        </w:tc>
        <w:tc>
          <w:tcPr>
            <w:tcW w:type="dxa" w:w="1296"/>
            <w:shd w:fill="FFFFFF"/>
            <w:tcMar>
              <w:top w:w="100" w:type="dxa"/>
              <w:bottom w:w="100" w:type="dxa"/>
              <w:left w:w="120" w:type="dxa"/>
              <w:right w:w="120" w:type="dxa"/>
            </w:tcMar>
          </w:tcPr>
          <w:p>
            <w:pPr>
              <w:jc w:val="center"/>
            </w:pPr>
            <w:r>
              <w:rPr>
                <w:rFonts w:ascii="Times New Roman" w:hAnsi="Times New Roman"/>
                <w:b/>
                <w:sz w:val="18"/>
              </w:rPr>
              <w:t>0.8993</w:t>
            </w:r>
          </w:p>
        </w:tc>
        <w:tc>
          <w:tcPr>
            <w:tcW w:type="dxa" w:w="1296"/>
            <w:shd w:fill="FFFFFF"/>
            <w:tcMar>
              <w:top w:w="100" w:type="dxa"/>
              <w:bottom w:w="100" w:type="dxa"/>
              <w:left w:w="120" w:type="dxa"/>
              <w:right w:w="120" w:type="dxa"/>
            </w:tcMar>
          </w:tcPr>
          <w:p>
            <w:pPr>
              <w:jc w:val="center"/>
            </w:pPr>
            <w:r>
              <w:rPr>
                <w:rFonts w:ascii="Times New Roman" w:hAnsi="Times New Roman"/>
                <w:sz w:val="18"/>
              </w:rPr>
              <w:t>0.0%</w:t>
            </w:r>
          </w:p>
        </w:tc>
      </w:tr>
      <w:tr>
        <w:tc>
          <w:tcPr>
            <w:tcW w:type="dxa" w:w="2016"/>
            <w:shd w:fill="F8F9F9"/>
            <w:tcMar>
              <w:top w:w="100" w:type="dxa"/>
              <w:bottom w:w="100" w:type="dxa"/>
              <w:left w:w="120" w:type="dxa"/>
              <w:right w:w="120" w:type="dxa"/>
            </w:tcMar>
          </w:tcPr>
          <w:p>
            <w:pPr>
              <w:jc w:val="left"/>
            </w:pPr>
            <w:r>
              <w:rPr>
                <w:rFonts w:ascii="Times New Roman" w:hAnsi="Times New Roman"/>
                <w:sz w:val="18"/>
              </w:rPr>
              <w:t>micro_03_api_gateway</w:t>
            </w:r>
          </w:p>
        </w:tc>
        <w:tc>
          <w:tcPr>
            <w:tcW w:type="dxa" w:w="1584"/>
            <w:shd w:fill="F8F9F9"/>
            <w:tcMar>
              <w:top w:w="100" w:type="dxa"/>
              <w:bottom w:w="100" w:type="dxa"/>
              <w:left w:w="120" w:type="dxa"/>
              <w:right w:w="120" w:type="dxa"/>
            </w:tcMar>
          </w:tcPr>
          <w:p>
            <w:pPr>
              <w:jc w:val="center"/>
            </w:pPr>
            <w:r>
              <w:rPr>
                <w:rFonts w:ascii="Times New Roman" w:hAnsi="Times New Roman"/>
                <w:sz w:val="18"/>
              </w:rPr>
              <w:t>Microservices (140 LOC)</w:t>
            </w:r>
          </w:p>
        </w:tc>
        <w:tc>
          <w:tcPr>
            <w:tcW w:type="dxa" w:w="1152"/>
            <w:shd w:fill="F8F9F9"/>
            <w:tcMar>
              <w:top w:w="100" w:type="dxa"/>
              <w:bottom w:w="100" w:type="dxa"/>
              <w:left w:w="120" w:type="dxa"/>
              <w:right w:w="120" w:type="dxa"/>
            </w:tcMar>
          </w:tcPr>
          <w:p>
            <w:pPr>
              <w:jc w:val="center"/>
            </w:pPr>
            <w:r>
              <w:rPr>
                <w:rFonts w:ascii="Times New Roman" w:hAnsi="Times New Roman"/>
                <w:sz w:val="18"/>
              </w:rPr>
              <w:t>0.9798</w:t>
            </w:r>
          </w:p>
        </w:tc>
        <w:tc>
          <w:tcPr>
            <w:tcW w:type="dxa" w:w="1152"/>
            <w:shd w:fill="F8F9F9"/>
            <w:tcMar>
              <w:top w:w="100" w:type="dxa"/>
              <w:bottom w:w="100" w:type="dxa"/>
              <w:left w:w="120" w:type="dxa"/>
              <w:right w:w="120" w:type="dxa"/>
            </w:tcMar>
          </w:tcPr>
          <w:p>
            <w:pPr>
              <w:jc w:val="center"/>
            </w:pPr>
            <w:r>
              <w:rPr>
                <w:rFonts w:ascii="Times New Roman" w:hAnsi="Times New Roman"/>
                <w:sz w:val="18"/>
              </w:rPr>
              <w:t>0.9737</w:t>
            </w:r>
          </w:p>
        </w:tc>
        <w:tc>
          <w:tcPr>
            <w:tcW w:type="dxa" w:w="1152"/>
            <w:shd w:fill="F8F9F9"/>
            <w:tcMar>
              <w:top w:w="100" w:type="dxa"/>
              <w:bottom w:w="100" w:type="dxa"/>
              <w:left w:w="120" w:type="dxa"/>
              <w:right w:w="120" w:type="dxa"/>
            </w:tcMar>
          </w:tcPr>
          <w:p>
            <w:pPr>
              <w:jc w:val="center"/>
            </w:pPr>
            <w:r>
              <w:rPr>
                <w:rFonts w:ascii="Times New Roman" w:hAnsi="Times New Roman"/>
                <w:sz w:val="18"/>
              </w:rPr>
              <w:t>0.9675</w:t>
            </w:r>
          </w:p>
        </w:tc>
        <w:tc>
          <w:tcPr>
            <w:tcW w:type="dxa" w:w="1296"/>
            <w:shd w:fill="F8F9F9"/>
            <w:tcMar>
              <w:top w:w="100" w:type="dxa"/>
              <w:bottom w:w="100" w:type="dxa"/>
              <w:left w:w="120" w:type="dxa"/>
              <w:right w:w="120" w:type="dxa"/>
            </w:tcMar>
          </w:tcPr>
          <w:p>
            <w:pPr>
              <w:jc w:val="center"/>
            </w:pPr>
            <w:r>
              <w:rPr>
                <w:rFonts w:ascii="Times New Roman" w:hAnsi="Times New Roman"/>
                <w:b/>
                <w:sz w:val="18"/>
              </w:rPr>
              <w:t>0.9767</w:t>
            </w:r>
          </w:p>
        </w:tc>
        <w:tc>
          <w:tcPr>
            <w:tcW w:type="dxa" w:w="1296"/>
            <w:shd w:fill="F8F9F9"/>
            <w:tcMar>
              <w:top w:w="100" w:type="dxa"/>
              <w:bottom w:w="100" w:type="dxa"/>
              <w:left w:w="120" w:type="dxa"/>
              <w:right w:w="120" w:type="dxa"/>
            </w:tcMar>
          </w:tcPr>
          <w:p>
            <w:pPr>
              <w:jc w:val="center"/>
            </w:pPr>
            <w:r>
              <w:rPr>
                <w:rFonts w:ascii="Times New Roman" w:hAnsi="Times New Roman"/>
                <w:sz w:val="18"/>
              </w:rPr>
              <w:t>0.0%</w:t>
            </w:r>
          </w:p>
        </w:tc>
      </w:tr>
      <w:tr>
        <w:tc>
          <w:tcPr>
            <w:tcW w:type="dxa" w:w="2016"/>
            <w:shd w:fill="FFFFFF"/>
            <w:tcMar>
              <w:top w:w="100" w:type="dxa"/>
              <w:bottom w:w="100" w:type="dxa"/>
              <w:left w:w="120" w:type="dxa"/>
              <w:right w:w="120" w:type="dxa"/>
            </w:tcMar>
          </w:tcPr>
          <w:p>
            <w:pPr>
              <w:jc w:val="left"/>
            </w:pPr>
            <w:r>
              <w:rPr>
                <w:rFonts w:ascii="Times New Roman" w:hAnsi="Times New Roman"/>
                <w:sz w:val="18"/>
              </w:rPr>
              <w:t>Aggregate Valid Mean ± Std</w:t>
            </w:r>
          </w:p>
        </w:tc>
        <w:tc>
          <w:tcPr>
            <w:tcW w:type="dxa" w:w="1584"/>
            <w:shd w:fill="FFFFFF"/>
            <w:tcMar>
              <w:top w:w="100" w:type="dxa"/>
              <w:bottom w:w="100" w:type="dxa"/>
              <w:left w:w="120" w:type="dxa"/>
              <w:right w:w="120" w:type="dxa"/>
            </w:tcMar>
          </w:tcPr>
          <w:p>
            <w:pPr>
              <w:jc w:val="center"/>
            </w:pPr>
            <w:r>
              <w:rPr>
                <w:rFonts w:ascii="Times New Roman" w:hAnsi="Times New Roman"/>
                <w:sz w:val="18"/>
              </w:rPr>
              <w:t>---</w:t>
            </w:r>
          </w:p>
        </w:tc>
        <w:tc>
          <w:tcPr>
            <w:tcW w:type="dxa" w:w="1152"/>
            <w:shd w:fill="FFFFFF"/>
            <w:tcMar>
              <w:top w:w="100" w:type="dxa"/>
              <w:bottom w:w="100" w:type="dxa"/>
              <w:left w:w="120" w:type="dxa"/>
              <w:right w:w="120" w:type="dxa"/>
            </w:tcMar>
          </w:tcPr>
          <w:p>
            <w:pPr>
              <w:jc w:val="center"/>
            </w:pPr>
            <w:r>
              <w:rPr>
                <w:rFonts w:ascii="Times New Roman" w:hAnsi="Times New Roman"/>
                <w:sz w:val="18"/>
              </w:rPr>
              <w:t>0.8929 ± 0.0606</w:t>
            </w:r>
          </w:p>
        </w:tc>
        <w:tc>
          <w:tcPr>
            <w:tcW w:type="dxa" w:w="1152"/>
            <w:shd w:fill="FFFFFF"/>
            <w:tcMar>
              <w:top w:w="100" w:type="dxa"/>
              <w:bottom w:w="100" w:type="dxa"/>
              <w:left w:w="120" w:type="dxa"/>
              <w:right w:w="120" w:type="dxa"/>
            </w:tcMar>
          </w:tcPr>
          <w:p>
            <w:pPr>
              <w:jc w:val="center"/>
            </w:pPr>
            <w:r>
              <w:rPr>
                <w:rFonts w:ascii="Times New Roman" w:hAnsi="Times New Roman"/>
                <w:sz w:val="18"/>
              </w:rPr>
              <w:t>0.9184 ± 0.0288</w:t>
            </w:r>
          </w:p>
        </w:tc>
        <w:tc>
          <w:tcPr>
            <w:tcW w:type="dxa" w:w="1152"/>
            <w:shd w:fill="FFFFFF"/>
            <w:tcMar>
              <w:top w:w="100" w:type="dxa"/>
              <w:bottom w:w="100" w:type="dxa"/>
              <w:left w:w="120" w:type="dxa"/>
              <w:right w:w="120" w:type="dxa"/>
            </w:tcMar>
          </w:tcPr>
          <w:p>
            <w:pPr>
              <w:jc w:val="center"/>
            </w:pPr>
            <w:r>
              <w:rPr>
                <w:rFonts w:ascii="Times New Roman" w:hAnsi="Times New Roman"/>
                <w:sz w:val="18"/>
              </w:rPr>
              <w:t>0.9055 ± 0.0439</w:t>
            </w:r>
          </w:p>
        </w:tc>
        <w:tc>
          <w:tcPr>
            <w:tcW w:type="dxa" w:w="1296"/>
            <w:shd w:fill="FFFFFF"/>
            <w:tcMar>
              <w:top w:w="100" w:type="dxa"/>
              <w:bottom w:w="100" w:type="dxa"/>
              <w:left w:w="120" w:type="dxa"/>
              <w:right w:w="120" w:type="dxa"/>
            </w:tcMar>
          </w:tcPr>
          <w:p>
            <w:pPr>
              <w:jc w:val="center"/>
            </w:pPr>
            <w:r>
              <w:rPr>
                <w:rFonts w:ascii="Times New Roman" w:hAnsi="Times New Roman"/>
                <w:b/>
                <w:sz w:val="18"/>
              </w:rPr>
              <w:t>0.9125 ± 0.0565</w:t>
            </w:r>
          </w:p>
        </w:tc>
        <w:tc>
          <w:tcPr>
            <w:tcW w:type="dxa" w:w="1296"/>
            <w:shd w:fill="FFFFFF"/>
            <w:tcMar>
              <w:top w:w="100" w:type="dxa"/>
              <w:bottom w:w="100" w:type="dxa"/>
              <w:left w:w="120" w:type="dxa"/>
              <w:right w:w="120" w:type="dxa"/>
            </w:tcMar>
          </w:tcPr>
          <w:p>
            <w:pPr>
              <w:jc w:val="center"/>
            </w:pPr>
            <w:r>
              <w:rPr>
                <w:rFonts w:ascii="Times New Roman" w:hAnsi="Times New Roman"/>
                <w:b/>
                <w:sz w:val="18"/>
              </w:rPr>
              <w:t>42.5% avg (88.0% max)</w:t>
            </w:r>
          </w:p>
        </w:tc>
      </w:tr>
    </w:tbl>
    <w:p>
      <w:pPr>
        <w:spacing w:before="80" w:after="160"/>
      </w:pPr>
    </w:p>
    <w:p>
      <w:pPr>
        <w:spacing w:before="160" w:after="80"/>
        <w:jc w:val="center"/>
      </w:pPr>
      <w:r>
        <w:drawing>
          <wp:inline xmlns:a="http://schemas.openxmlformats.org/drawingml/2006/main" xmlns:pic="http://schemas.openxmlformats.org/drawingml/2006/picture">
            <wp:extent cx="5669280" cy="3447108"/>
            <wp:docPr id="2" name="Picture 2"/>
            <wp:cNvGraphicFramePr>
              <a:graphicFrameLocks noChangeAspect="1"/>
            </wp:cNvGraphicFramePr>
            <a:graphic>
              <a:graphicData uri="http://schemas.openxmlformats.org/drawingml/2006/picture">
                <pic:pic>
                  <pic:nvPicPr>
                    <pic:cNvPr id="0" name="fig2b_tier2_cloud_benchmarks.png"/>
                    <pic:cNvPicPr/>
                  </pic:nvPicPr>
                  <pic:blipFill>
                    <a:blip r:embed="rId10"/>
                    <a:stretch>
                      <a:fillRect/>
                    </a:stretch>
                  </pic:blipFill>
                  <pic:spPr>
                    <a:xfrm>
                      <a:off x="0" y="0"/>
                      <a:ext cx="5669280" cy="3447108"/>
                    </a:xfrm>
                    <a:prstGeom prst="rect"/>
                  </pic:spPr>
                </pic:pic>
              </a:graphicData>
            </a:graphic>
          </wp:inline>
        </w:drawing>
      </w:r>
    </w:p>
    <w:p>
      <w:pPr>
        <w:spacing w:before="40" w:after="200"/>
        <w:jc w:val="center"/>
      </w:pPr>
      <w:r>
        <w:rPr>
          <w:rFonts w:ascii="Times New Roman" w:hAnsi="Times New Roman"/>
          <w:i/>
          <w:sz w:val="18"/>
        </w:rPr>
        <w:t>Figure 3: Tier 2 Remote Cloud Frontier Flagship Telemetry Analysis (4-Panel): (A) Stage 1 token noise filtering percentage (N_filter %); (B) End-to-end API pipeline latency (t_S1 + t_S2); (C) Greenfield structural AST divergence (D_AST); (D) Upstream prompt caching and token cost reduction (%).</w:t>
      </w:r>
    </w:p>
    <w:p>
      <w:pPr>
        <w:spacing w:before="160" w:after="80"/>
        <w:jc w:val="center"/>
      </w:pPr>
      <w:r>
        <w:drawing>
          <wp:inline xmlns:a="http://schemas.openxmlformats.org/drawingml/2006/main" xmlns:pic="http://schemas.openxmlformats.org/drawingml/2006/picture">
            <wp:extent cx="5669280" cy="2838655"/>
            <wp:docPr id="3" name="Picture 3"/>
            <wp:cNvGraphicFramePr>
              <a:graphicFrameLocks noChangeAspect="1"/>
            </wp:cNvGraphicFramePr>
            <a:graphic>
              <a:graphicData uri="http://schemas.openxmlformats.org/drawingml/2006/picture">
                <pic:pic>
                  <pic:nvPicPr>
                    <pic:cNvPr id="0" name="fig4_latency_pareto.png"/>
                    <pic:cNvPicPr/>
                  </pic:nvPicPr>
                  <pic:blipFill>
                    <a:blip r:embed="rId11"/>
                    <a:stretch>
                      <a:fillRect/>
                    </a:stretch>
                  </pic:blipFill>
                  <pic:spPr>
                    <a:xfrm>
                      <a:off x="0" y="0"/>
                      <a:ext cx="5669280" cy="2838655"/>
                    </a:xfrm>
                    <a:prstGeom prst="rect"/>
                  </pic:spPr>
                </pic:pic>
              </a:graphicData>
            </a:graphic>
          </wp:inline>
        </w:drawing>
      </w:r>
    </w:p>
    <w:p>
      <w:pPr>
        <w:spacing w:before="40" w:after="200"/>
        <w:jc w:val="center"/>
      </w:pPr>
      <w:r>
        <w:rPr>
          <w:rFonts w:ascii="Times New Roman" w:hAnsi="Times New Roman"/>
          <w:i/>
          <w:sz w:val="18"/>
        </w:rPr>
        <w:t>Figure 4: Unified 16-model cross-tier Pareto frontier mapping end-to-end pipeline latency versus AST structural divergence across Local Edge hardware and Cloud Frontier APIs.</w:t>
      </w:r>
    </w:p>
    <w:p>
      <w:pPr>
        <w:keepNext/>
        <w:spacing w:before="240" w:after="80"/>
      </w:pPr>
      <w:r>
        <w:rPr>
          <w:rFonts w:ascii="Times New Roman" w:hAnsi="Times New Roman"/>
          <w:b/>
          <w:sz w:val="22"/>
        </w:rPr>
        <w:t>4.3 Impact of CodeGraph Indexing on Local Edge Models</w:t>
      </w:r>
    </w:p>
    <w:p>
      <w:pPr>
        <w:spacing w:before="0" w:after="120" w:line="276" w:lineRule="auto"/>
        <w:jc w:val="both"/>
      </w:pPr>
      <w:r>
        <w:rPr>
          <w:rFonts w:ascii="Times New Roman" w:hAnsi="Times New Roman"/>
          <w:sz w:val="20"/>
        </w:rPr>
        <w:t>To evaluate the empirical impact of live indexing, we conducted an ablation study on local hardware. We compared our base system prompt skill (without indexing) against the CodeGraph-enabled workflow. Under the unindexed condition, the model was forced to ingest raw directories directly, leading to severe context bloat (18,400 tokens), low syntax integrity pass rate (40%), and strong contextual anchoring (0.0197 AST divergence). When CodeGraph was enabled, its live Tree-sitter file watcher and SQLite indexing dynamically traced symbol call paths and pruned irrelevant workspace directories, reducing context to 1,250 tokens (a 14x compression), achieving 100% syntax pass rate and deanchoring to 0.8211 AST divergence.</w:t>
      </w:r>
    </w:p>
    <w:p>
      <w:pPr>
        <w:spacing w:before="160" w:after="80"/>
        <w:jc w:val="center"/>
      </w:pPr>
      <w:r>
        <w:drawing>
          <wp:inline xmlns:a="http://schemas.openxmlformats.org/drawingml/2006/main" xmlns:pic="http://schemas.openxmlformats.org/drawingml/2006/picture">
            <wp:extent cx="5669280" cy="1786994"/>
            <wp:docPr id="4" name="Picture 4"/>
            <wp:cNvGraphicFramePr>
              <a:graphicFrameLocks noChangeAspect="1"/>
            </wp:cNvGraphicFramePr>
            <a:graphic>
              <a:graphicData uri="http://schemas.openxmlformats.org/drawingml/2006/picture">
                <pic:pic>
                  <pic:nvPicPr>
                    <pic:cNvPr id="0" name="fig5_indexing_impact.png"/>
                    <pic:cNvPicPr/>
                  </pic:nvPicPr>
                  <pic:blipFill>
                    <a:blip r:embed="rId12"/>
                    <a:stretch>
                      <a:fillRect/>
                    </a:stretch>
                  </pic:blipFill>
                  <pic:spPr>
                    <a:xfrm>
                      <a:off x="0" y="0"/>
                      <a:ext cx="5669280" cy="1786994"/>
                    </a:xfrm>
                    <a:prstGeom prst="rect"/>
                  </pic:spPr>
                </pic:pic>
              </a:graphicData>
            </a:graphic>
          </wp:inline>
        </w:drawing>
      </w:r>
    </w:p>
    <w:p>
      <w:pPr>
        <w:spacing w:before="40" w:after="200"/>
        <w:jc w:val="center"/>
      </w:pPr>
      <w:r>
        <w:rPr>
          <w:rFonts w:ascii="Times New Roman" w:hAnsi="Times New Roman"/>
          <w:i/>
          <w:sz w:val="18"/>
        </w:rPr>
        <w:t>Figure 5: Comparative ablation analysis of prompt context size (tokens), syntax integrity pass rate (%), and AST structural divergence under the Bare Skill vs. CodeGraph indexing conditions.</w:t>
      </w:r>
    </w:p>
    <w:p>
      <w:pPr>
        <w:keepNext/>
        <w:spacing w:before="240" w:after="80"/>
      </w:pPr>
      <w:r>
        <w:rPr>
          <w:rFonts w:ascii="Times New Roman" w:hAnsi="Times New Roman"/>
          <w:b/>
          <w:sz w:val="22"/>
        </w:rPr>
        <w:t>4.4 Ablation Study: Disentangling Semantic Representation from Context Compression</w:t>
      </w:r>
    </w:p>
    <w:p>
      <w:pPr>
        <w:spacing w:before="0" w:after="120" w:line="276" w:lineRule="auto"/>
        <w:jc w:val="both"/>
      </w:pPr>
      <w:r>
        <w:rPr>
          <w:rFonts w:ascii="Times New Roman" w:hAnsi="Times New Roman"/>
          <w:sz w:val="20"/>
        </w:rPr>
        <w:t>A critical theoretical and empirical question is whether the deanchoring performance gain is driven specifically by structured semantic intermediate schemas (S_YAML), or whether it is merely an artifact of token truncation (i.e., reducing the input context length). To disentangle these phenomena, we evaluated six distinct conditioning configurations: (1) C_D: Direct Baseline Control, (2) C_Trunc: Naive 50% Token Truncation, (3) C_Skel: Structural AST Skeleton, (4) C_Doc: Natural Language Prose Spec, (5) C_JSON: Strict JSON Schema, and (6) C_YAML: Canonical Deanchor YAML.</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592"/>
            <w:shd w:fill="EAECEE"/>
            <w:tcMar>
              <w:top w:w="120" w:type="dxa"/>
              <w:bottom w:w="120" w:type="dxa"/>
              <w:left w:w="140" w:type="dxa"/>
              <w:right w:w="140" w:type="dxa"/>
            </w:tcMar>
          </w:tcPr>
          <w:p>
            <w:pPr>
              <w:jc w:val="center"/>
            </w:pPr>
            <w:r>
              <w:rPr>
                <w:rFonts w:ascii="Times New Roman" w:hAnsi="Times New Roman"/>
                <w:b/>
                <w:sz w:val="19"/>
              </w:rPr>
              <w:t>Condition Configuration</w:t>
            </w:r>
          </w:p>
        </w:tc>
        <w:tc>
          <w:tcPr>
            <w:tcW w:type="dxa" w:w="1008"/>
            <w:shd w:fill="EAECEE"/>
            <w:tcMar>
              <w:top w:w="120" w:type="dxa"/>
              <w:bottom w:w="120" w:type="dxa"/>
              <w:left w:w="140" w:type="dxa"/>
              <w:right w:w="140" w:type="dxa"/>
            </w:tcMar>
          </w:tcPr>
          <w:p>
            <w:pPr>
              <w:jc w:val="center"/>
            </w:pPr>
            <w:r>
              <w:rPr>
                <w:rFonts w:ascii="Times New Roman" w:hAnsi="Times New Roman"/>
                <w:b/>
                <w:sz w:val="19"/>
              </w:rPr>
              <w:t>Mean Tokens</w:t>
            </w:r>
          </w:p>
        </w:tc>
        <w:tc>
          <w:tcPr>
            <w:tcW w:type="dxa" w:w="1152"/>
            <w:shd w:fill="EAECEE"/>
            <w:tcMar>
              <w:top w:w="120" w:type="dxa"/>
              <w:bottom w:w="120" w:type="dxa"/>
              <w:left w:w="140" w:type="dxa"/>
              <w:right w:w="140" w:type="dxa"/>
            </w:tcMar>
          </w:tcPr>
          <w:p>
            <w:pPr>
              <w:jc w:val="center"/>
            </w:pPr>
            <w:r>
              <w:rPr>
                <w:rFonts w:ascii="Times New Roman" w:hAnsi="Times New Roman"/>
                <w:b/>
                <w:sz w:val="19"/>
              </w:rPr>
              <w:t>Token Red. (%)</w:t>
            </w:r>
          </w:p>
        </w:tc>
        <w:tc>
          <w:tcPr>
            <w:tcW w:type="dxa" w:w="1152"/>
            <w:shd w:fill="EAECEE"/>
            <w:tcMar>
              <w:top w:w="120" w:type="dxa"/>
              <w:bottom w:w="120" w:type="dxa"/>
              <w:left w:w="140" w:type="dxa"/>
              <w:right w:w="140" w:type="dxa"/>
            </w:tcMar>
          </w:tcPr>
          <w:p>
            <w:pPr>
              <w:jc w:val="center"/>
            </w:pPr>
            <w:r>
              <w:rPr>
                <w:rFonts w:ascii="Times New Roman" w:hAnsi="Times New Roman"/>
                <w:b/>
                <w:sz w:val="19"/>
              </w:rPr>
              <w:t>AST Divergence</w:t>
            </w:r>
          </w:p>
        </w:tc>
        <w:tc>
          <w:tcPr>
            <w:tcW w:type="dxa" w:w="1152"/>
            <w:shd w:fill="EAECEE"/>
            <w:tcMar>
              <w:top w:w="120" w:type="dxa"/>
              <w:bottom w:w="120" w:type="dxa"/>
              <w:left w:w="140" w:type="dxa"/>
              <w:right w:w="140" w:type="dxa"/>
            </w:tcMar>
          </w:tcPr>
          <w:p>
            <w:pPr>
              <w:jc w:val="center"/>
            </w:pPr>
            <w:r>
              <w:rPr>
                <w:rFonts w:ascii="Times New Roman" w:hAnsi="Times New Roman"/>
                <w:b/>
                <w:sz w:val="19"/>
              </w:rPr>
              <w:t>Invariant Ret. (%)</w:t>
            </w:r>
          </w:p>
        </w:tc>
        <w:tc>
          <w:tcPr>
            <w:tcW w:type="dxa" w:w="1008"/>
            <w:shd w:fill="EAECEE"/>
            <w:tcMar>
              <w:top w:w="120" w:type="dxa"/>
              <w:bottom w:w="120" w:type="dxa"/>
              <w:left w:w="140" w:type="dxa"/>
              <w:right w:w="140" w:type="dxa"/>
            </w:tcMar>
          </w:tcPr>
          <w:p>
            <w:pPr>
              <w:jc w:val="center"/>
            </w:pPr>
            <w:r>
              <w:rPr>
                <w:rFonts w:ascii="Times New Roman" w:hAnsi="Times New Roman"/>
                <w:b/>
                <w:sz w:val="19"/>
              </w:rPr>
              <w:t>Syntax Pass (%)</w:t>
            </w:r>
          </w:p>
        </w:tc>
        <w:tc>
          <w:tcPr>
            <w:tcW w:type="dxa" w:w="2016"/>
            <w:shd w:fill="EAECEE"/>
            <w:tcMar>
              <w:top w:w="120" w:type="dxa"/>
              <w:bottom w:w="120" w:type="dxa"/>
              <w:left w:w="140" w:type="dxa"/>
              <w:right w:w="140" w:type="dxa"/>
            </w:tcMar>
          </w:tcPr>
          <w:p>
            <w:pPr>
              <w:jc w:val="center"/>
            </w:pPr>
            <w:r>
              <w:rPr>
                <w:rFonts w:ascii="Times New Roman" w:hAnsi="Times New Roman"/>
                <w:b/>
                <w:sz w:val="19"/>
              </w:rPr>
              <w:t>Mutual Info I(Ty; Tx | S)</w:t>
            </w:r>
          </w:p>
        </w:tc>
      </w:tr>
      <w:tr>
        <w:tc>
          <w:tcPr>
            <w:tcW w:type="dxa" w:w="2592"/>
            <w:shd w:fill="FFFFFF"/>
            <w:tcMar>
              <w:top w:w="100" w:type="dxa"/>
              <w:bottom w:w="100" w:type="dxa"/>
              <w:left w:w="120" w:type="dxa"/>
              <w:right w:w="120" w:type="dxa"/>
            </w:tcMar>
          </w:tcPr>
          <w:p>
            <w:pPr>
              <w:jc w:val="left"/>
            </w:pPr>
            <w:r>
              <w:rPr>
                <w:rFonts w:ascii="Times New Roman" w:hAnsi="Times New Roman"/>
                <w:sz w:val="18"/>
              </w:rPr>
              <w:t>C_D: Direct Baseline Control</w:t>
            </w:r>
          </w:p>
        </w:tc>
        <w:tc>
          <w:tcPr>
            <w:tcW w:type="dxa" w:w="1008"/>
            <w:shd w:fill="FFFFFF"/>
            <w:tcMar>
              <w:top w:w="100" w:type="dxa"/>
              <w:bottom w:w="100" w:type="dxa"/>
              <w:left w:w="120" w:type="dxa"/>
              <w:right w:w="120" w:type="dxa"/>
            </w:tcMar>
          </w:tcPr>
          <w:p>
            <w:pPr>
              <w:jc w:val="center"/>
            </w:pPr>
            <w:r>
              <w:rPr>
                <w:rFonts w:ascii="Times New Roman" w:hAnsi="Times New Roman"/>
                <w:sz w:val="18"/>
              </w:rPr>
              <w:t>2,840</w:t>
            </w:r>
          </w:p>
        </w:tc>
        <w:tc>
          <w:tcPr>
            <w:tcW w:type="dxa" w:w="1152"/>
            <w:shd w:fill="FFFFFF"/>
            <w:tcMar>
              <w:top w:w="100" w:type="dxa"/>
              <w:bottom w:w="100" w:type="dxa"/>
              <w:left w:w="120" w:type="dxa"/>
              <w:right w:w="120" w:type="dxa"/>
            </w:tcMar>
          </w:tcPr>
          <w:p>
            <w:pPr>
              <w:jc w:val="center"/>
            </w:pPr>
            <w:r>
              <w:rPr>
                <w:rFonts w:ascii="Times New Roman" w:hAnsi="Times New Roman"/>
                <w:sz w:val="18"/>
              </w:rPr>
              <w:t>0.0%</w:t>
            </w:r>
          </w:p>
        </w:tc>
        <w:tc>
          <w:tcPr>
            <w:tcW w:type="dxa" w:w="1152"/>
            <w:shd w:fill="FFFFFF"/>
            <w:tcMar>
              <w:top w:w="100" w:type="dxa"/>
              <w:bottom w:w="100" w:type="dxa"/>
              <w:left w:w="120" w:type="dxa"/>
              <w:right w:w="120" w:type="dxa"/>
            </w:tcMar>
          </w:tcPr>
          <w:p>
            <w:pPr>
              <w:jc w:val="center"/>
            </w:pPr>
            <w:r>
              <w:rPr>
                <w:rFonts w:ascii="Times New Roman" w:hAnsi="Times New Roman"/>
                <w:sz w:val="18"/>
              </w:rPr>
              <w:t>0.0197</w:t>
            </w:r>
          </w:p>
        </w:tc>
        <w:tc>
          <w:tcPr>
            <w:tcW w:type="dxa" w:w="1152"/>
            <w:shd w:fill="FFFFFF"/>
            <w:tcMar>
              <w:top w:w="100" w:type="dxa"/>
              <w:bottom w:w="100" w:type="dxa"/>
              <w:left w:w="120" w:type="dxa"/>
              <w:right w:w="120" w:type="dxa"/>
            </w:tcMar>
          </w:tcPr>
          <w:p>
            <w:pPr>
              <w:jc w:val="center"/>
            </w:pPr>
            <w:r>
              <w:rPr>
                <w:rFonts w:ascii="Times New Roman" w:hAnsi="Times New Roman"/>
                <w:sz w:val="18"/>
              </w:rPr>
              <w:t>98.5%</w:t>
            </w:r>
          </w:p>
        </w:tc>
        <w:tc>
          <w:tcPr>
            <w:tcW w:type="dxa" w:w="1008"/>
            <w:shd w:fill="FFFFFF"/>
            <w:tcMar>
              <w:top w:w="100" w:type="dxa"/>
              <w:bottom w:w="100" w:type="dxa"/>
              <w:left w:w="120" w:type="dxa"/>
              <w:right w:w="120" w:type="dxa"/>
            </w:tcMar>
          </w:tcPr>
          <w:p>
            <w:pPr>
              <w:jc w:val="center"/>
            </w:pPr>
            <w:r>
              <w:rPr>
                <w:rFonts w:ascii="Times New Roman" w:hAnsi="Times New Roman"/>
                <w:sz w:val="18"/>
              </w:rPr>
              <w:t>96.0%</w:t>
            </w:r>
          </w:p>
        </w:tc>
        <w:tc>
          <w:tcPr>
            <w:tcW w:type="dxa" w:w="2016"/>
            <w:shd w:fill="FFFFFF"/>
            <w:tcMar>
              <w:top w:w="100" w:type="dxa"/>
              <w:bottom w:w="100" w:type="dxa"/>
              <w:left w:w="120" w:type="dxa"/>
              <w:right w:w="120" w:type="dxa"/>
            </w:tcMar>
          </w:tcPr>
          <w:p>
            <w:pPr>
              <w:jc w:val="center"/>
            </w:pPr>
            <w:r>
              <w:rPr>
                <w:rFonts w:ascii="Times New Roman" w:hAnsi="Times New Roman"/>
                <w:sz w:val="18"/>
              </w:rPr>
              <w:t>1.0000 (Anchored)</w:t>
            </w:r>
          </w:p>
        </w:tc>
      </w:tr>
      <w:tr>
        <w:tc>
          <w:tcPr>
            <w:tcW w:type="dxa" w:w="2592"/>
            <w:shd w:fill="F8F9F9"/>
            <w:tcMar>
              <w:top w:w="100" w:type="dxa"/>
              <w:bottom w:w="100" w:type="dxa"/>
              <w:left w:w="120" w:type="dxa"/>
              <w:right w:w="120" w:type="dxa"/>
            </w:tcMar>
          </w:tcPr>
          <w:p>
            <w:pPr>
              <w:jc w:val="left"/>
            </w:pPr>
            <w:r>
              <w:rPr>
                <w:rFonts w:ascii="Times New Roman" w:hAnsi="Times New Roman"/>
                <w:sz w:val="18"/>
              </w:rPr>
              <w:t>C_Trunc: 50% Token Truncation</w:t>
            </w:r>
          </w:p>
        </w:tc>
        <w:tc>
          <w:tcPr>
            <w:tcW w:type="dxa" w:w="1008"/>
            <w:shd w:fill="F8F9F9"/>
            <w:tcMar>
              <w:top w:w="100" w:type="dxa"/>
              <w:bottom w:w="100" w:type="dxa"/>
              <w:left w:w="120" w:type="dxa"/>
              <w:right w:w="120" w:type="dxa"/>
            </w:tcMar>
          </w:tcPr>
          <w:p>
            <w:pPr>
              <w:jc w:val="center"/>
            </w:pPr>
            <w:r>
              <w:rPr>
                <w:rFonts w:ascii="Times New Roman" w:hAnsi="Times New Roman"/>
                <w:sz w:val="18"/>
              </w:rPr>
              <w:t>1,420</w:t>
            </w:r>
          </w:p>
        </w:tc>
        <w:tc>
          <w:tcPr>
            <w:tcW w:type="dxa" w:w="1152"/>
            <w:shd w:fill="F8F9F9"/>
            <w:tcMar>
              <w:top w:w="100" w:type="dxa"/>
              <w:bottom w:w="100" w:type="dxa"/>
              <w:left w:w="120" w:type="dxa"/>
              <w:right w:w="120" w:type="dxa"/>
            </w:tcMar>
          </w:tcPr>
          <w:p>
            <w:pPr>
              <w:jc w:val="center"/>
            </w:pPr>
            <w:r>
              <w:rPr>
                <w:rFonts w:ascii="Times New Roman" w:hAnsi="Times New Roman"/>
                <w:sz w:val="18"/>
              </w:rPr>
              <w:t>50.0%</w:t>
            </w:r>
          </w:p>
        </w:tc>
        <w:tc>
          <w:tcPr>
            <w:tcW w:type="dxa" w:w="1152"/>
            <w:shd w:fill="F8F9F9"/>
            <w:tcMar>
              <w:top w:w="100" w:type="dxa"/>
              <w:bottom w:w="100" w:type="dxa"/>
              <w:left w:w="120" w:type="dxa"/>
              <w:right w:w="120" w:type="dxa"/>
            </w:tcMar>
          </w:tcPr>
          <w:p>
            <w:pPr>
              <w:jc w:val="center"/>
            </w:pPr>
            <w:r>
              <w:rPr>
                <w:rFonts w:ascii="Times New Roman" w:hAnsi="Times New Roman"/>
                <w:sz w:val="18"/>
              </w:rPr>
              <w:t>0.0842</w:t>
            </w:r>
          </w:p>
        </w:tc>
        <w:tc>
          <w:tcPr>
            <w:tcW w:type="dxa" w:w="1152"/>
            <w:shd w:fill="F8F9F9"/>
            <w:tcMar>
              <w:top w:w="100" w:type="dxa"/>
              <w:bottom w:w="100" w:type="dxa"/>
              <w:left w:w="120" w:type="dxa"/>
              <w:right w:w="120" w:type="dxa"/>
            </w:tcMar>
          </w:tcPr>
          <w:p>
            <w:pPr>
              <w:jc w:val="center"/>
            </w:pPr>
            <w:r>
              <w:rPr>
                <w:rFonts w:ascii="Times New Roman" w:hAnsi="Times New Roman"/>
                <w:sz w:val="18"/>
              </w:rPr>
              <w:t>48.0%</w:t>
            </w:r>
          </w:p>
        </w:tc>
        <w:tc>
          <w:tcPr>
            <w:tcW w:type="dxa" w:w="1008"/>
            <w:shd w:fill="F8F9F9"/>
            <w:tcMar>
              <w:top w:w="100" w:type="dxa"/>
              <w:bottom w:w="100" w:type="dxa"/>
              <w:left w:w="120" w:type="dxa"/>
              <w:right w:w="120" w:type="dxa"/>
            </w:tcMar>
          </w:tcPr>
          <w:p>
            <w:pPr>
              <w:jc w:val="center"/>
            </w:pPr>
            <w:r>
              <w:rPr>
                <w:rFonts w:ascii="Times New Roman" w:hAnsi="Times New Roman"/>
                <w:sz w:val="18"/>
              </w:rPr>
              <w:t>54.0%</w:t>
            </w:r>
          </w:p>
        </w:tc>
        <w:tc>
          <w:tcPr>
            <w:tcW w:type="dxa" w:w="2016"/>
            <w:shd w:fill="F8F9F9"/>
            <w:tcMar>
              <w:top w:w="100" w:type="dxa"/>
              <w:bottom w:w="100" w:type="dxa"/>
              <w:left w:w="120" w:type="dxa"/>
              <w:right w:w="120" w:type="dxa"/>
            </w:tcMar>
          </w:tcPr>
          <w:p>
            <w:pPr>
              <w:jc w:val="center"/>
            </w:pPr>
            <w:r>
              <w:rPr>
                <w:rFonts w:ascii="Times New Roman" w:hAnsi="Times New Roman"/>
                <w:sz w:val="18"/>
              </w:rPr>
              <w:t>0.7850 (Partial)</w:t>
            </w:r>
          </w:p>
        </w:tc>
      </w:tr>
      <w:tr>
        <w:tc>
          <w:tcPr>
            <w:tcW w:type="dxa" w:w="2592"/>
            <w:shd w:fill="FFFFFF"/>
            <w:tcMar>
              <w:top w:w="100" w:type="dxa"/>
              <w:bottom w:w="100" w:type="dxa"/>
              <w:left w:w="120" w:type="dxa"/>
              <w:right w:w="120" w:type="dxa"/>
            </w:tcMar>
          </w:tcPr>
          <w:p>
            <w:pPr>
              <w:jc w:val="left"/>
            </w:pPr>
            <w:r>
              <w:rPr>
                <w:rFonts w:ascii="Times New Roman" w:hAnsi="Times New Roman"/>
                <w:sz w:val="18"/>
              </w:rPr>
              <w:t>C_Skel: Structural AST Skeleton</w:t>
            </w:r>
          </w:p>
        </w:tc>
        <w:tc>
          <w:tcPr>
            <w:tcW w:type="dxa" w:w="1008"/>
            <w:shd w:fill="FFFFFF"/>
            <w:tcMar>
              <w:top w:w="100" w:type="dxa"/>
              <w:bottom w:w="100" w:type="dxa"/>
              <w:left w:w="120" w:type="dxa"/>
              <w:right w:w="120" w:type="dxa"/>
            </w:tcMar>
          </w:tcPr>
          <w:p>
            <w:pPr>
              <w:jc w:val="center"/>
            </w:pPr>
            <w:r>
              <w:rPr>
                <w:rFonts w:ascii="Times New Roman" w:hAnsi="Times New Roman"/>
                <w:sz w:val="18"/>
              </w:rPr>
              <w:t>960</w:t>
            </w:r>
          </w:p>
        </w:tc>
        <w:tc>
          <w:tcPr>
            <w:tcW w:type="dxa" w:w="1152"/>
            <w:shd w:fill="FFFFFF"/>
            <w:tcMar>
              <w:top w:w="100" w:type="dxa"/>
              <w:bottom w:w="100" w:type="dxa"/>
              <w:left w:w="120" w:type="dxa"/>
              <w:right w:w="120" w:type="dxa"/>
            </w:tcMar>
          </w:tcPr>
          <w:p>
            <w:pPr>
              <w:jc w:val="center"/>
            </w:pPr>
            <w:r>
              <w:rPr>
                <w:rFonts w:ascii="Times New Roman" w:hAnsi="Times New Roman"/>
                <w:sz w:val="18"/>
              </w:rPr>
              <w:t>66.2%</w:t>
            </w:r>
          </w:p>
        </w:tc>
        <w:tc>
          <w:tcPr>
            <w:tcW w:type="dxa" w:w="1152"/>
            <w:shd w:fill="FFFFFF"/>
            <w:tcMar>
              <w:top w:w="100" w:type="dxa"/>
              <w:bottom w:w="100" w:type="dxa"/>
              <w:left w:w="120" w:type="dxa"/>
              <w:right w:w="120" w:type="dxa"/>
            </w:tcMar>
          </w:tcPr>
          <w:p>
            <w:pPr>
              <w:jc w:val="center"/>
            </w:pPr>
            <w:r>
              <w:rPr>
                <w:rFonts w:ascii="Times New Roman" w:hAnsi="Times New Roman"/>
                <w:sz w:val="18"/>
              </w:rPr>
              <w:t>0.1415</w:t>
            </w:r>
          </w:p>
        </w:tc>
        <w:tc>
          <w:tcPr>
            <w:tcW w:type="dxa" w:w="1152"/>
            <w:shd w:fill="FFFFFF"/>
            <w:tcMar>
              <w:top w:w="100" w:type="dxa"/>
              <w:bottom w:w="100" w:type="dxa"/>
              <w:left w:w="120" w:type="dxa"/>
              <w:right w:w="120" w:type="dxa"/>
            </w:tcMar>
          </w:tcPr>
          <w:p>
            <w:pPr>
              <w:jc w:val="center"/>
            </w:pPr>
            <w:r>
              <w:rPr>
                <w:rFonts w:ascii="Times New Roman" w:hAnsi="Times New Roman"/>
                <w:sz w:val="18"/>
              </w:rPr>
              <w:t>52.0%</w:t>
            </w:r>
          </w:p>
        </w:tc>
        <w:tc>
          <w:tcPr>
            <w:tcW w:type="dxa" w:w="1008"/>
            <w:shd w:fill="FFFFFF"/>
            <w:tcMar>
              <w:top w:w="100" w:type="dxa"/>
              <w:bottom w:w="100" w:type="dxa"/>
              <w:left w:w="120" w:type="dxa"/>
              <w:right w:w="120" w:type="dxa"/>
            </w:tcMar>
          </w:tcPr>
          <w:p>
            <w:pPr>
              <w:jc w:val="center"/>
            </w:pPr>
            <w:r>
              <w:rPr>
                <w:rFonts w:ascii="Times New Roman" w:hAnsi="Times New Roman"/>
                <w:sz w:val="18"/>
              </w:rPr>
              <w:t>88.0%</w:t>
            </w:r>
          </w:p>
        </w:tc>
        <w:tc>
          <w:tcPr>
            <w:tcW w:type="dxa" w:w="2016"/>
            <w:shd w:fill="FFFFFF"/>
            <w:tcMar>
              <w:top w:w="100" w:type="dxa"/>
              <w:bottom w:w="100" w:type="dxa"/>
              <w:left w:w="120" w:type="dxa"/>
              <w:right w:w="120" w:type="dxa"/>
            </w:tcMar>
          </w:tcPr>
          <w:p>
            <w:pPr>
              <w:jc w:val="center"/>
            </w:pPr>
            <w:r>
              <w:rPr>
                <w:rFonts w:ascii="Times New Roman" w:hAnsi="Times New Roman"/>
                <w:sz w:val="18"/>
              </w:rPr>
              <w:t>0.8920 (Structural)</w:t>
            </w:r>
          </w:p>
        </w:tc>
      </w:tr>
      <w:tr>
        <w:tc>
          <w:tcPr>
            <w:tcW w:type="dxa" w:w="2592"/>
            <w:shd w:fill="F8F9F9"/>
            <w:tcMar>
              <w:top w:w="100" w:type="dxa"/>
              <w:bottom w:w="100" w:type="dxa"/>
              <w:left w:w="120" w:type="dxa"/>
              <w:right w:w="120" w:type="dxa"/>
            </w:tcMar>
          </w:tcPr>
          <w:p>
            <w:pPr>
              <w:jc w:val="left"/>
            </w:pPr>
            <w:r>
              <w:rPr>
                <w:rFonts w:ascii="Times New Roman" w:hAnsi="Times New Roman"/>
                <w:sz w:val="18"/>
              </w:rPr>
              <w:t>C_Doc: Natural Language Prose Spec</w:t>
            </w:r>
          </w:p>
        </w:tc>
        <w:tc>
          <w:tcPr>
            <w:tcW w:type="dxa" w:w="1008"/>
            <w:shd w:fill="F8F9F9"/>
            <w:tcMar>
              <w:top w:w="100" w:type="dxa"/>
              <w:bottom w:w="100" w:type="dxa"/>
              <w:left w:w="120" w:type="dxa"/>
              <w:right w:w="120" w:type="dxa"/>
            </w:tcMar>
          </w:tcPr>
          <w:p>
            <w:pPr>
              <w:jc w:val="center"/>
            </w:pPr>
            <w:r>
              <w:rPr>
                <w:rFonts w:ascii="Times New Roman" w:hAnsi="Times New Roman"/>
                <w:sz w:val="18"/>
              </w:rPr>
              <w:t>420</w:t>
            </w:r>
          </w:p>
        </w:tc>
        <w:tc>
          <w:tcPr>
            <w:tcW w:type="dxa" w:w="1152"/>
            <w:shd w:fill="F8F9F9"/>
            <w:tcMar>
              <w:top w:w="100" w:type="dxa"/>
              <w:bottom w:w="100" w:type="dxa"/>
              <w:left w:w="120" w:type="dxa"/>
              <w:right w:w="120" w:type="dxa"/>
            </w:tcMar>
          </w:tcPr>
          <w:p>
            <w:pPr>
              <w:jc w:val="center"/>
            </w:pPr>
            <w:r>
              <w:rPr>
                <w:rFonts w:ascii="Times New Roman" w:hAnsi="Times New Roman"/>
                <w:sz w:val="18"/>
              </w:rPr>
              <w:t>85.2%</w:t>
            </w:r>
          </w:p>
        </w:tc>
        <w:tc>
          <w:tcPr>
            <w:tcW w:type="dxa" w:w="1152"/>
            <w:shd w:fill="F8F9F9"/>
            <w:tcMar>
              <w:top w:w="100" w:type="dxa"/>
              <w:bottom w:w="100" w:type="dxa"/>
              <w:left w:w="120" w:type="dxa"/>
              <w:right w:w="120" w:type="dxa"/>
            </w:tcMar>
          </w:tcPr>
          <w:p>
            <w:pPr>
              <w:jc w:val="center"/>
            </w:pPr>
            <w:r>
              <w:rPr>
                <w:rFonts w:ascii="Times New Roman" w:hAnsi="Times New Roman"/>
                <w:sz w:val="18"/>
              </w:rPr>
              <w:t>0.9180</w:t>
            </w:r>
          </w:p>
        </w:tc>
        <w:tc>
          <w:tcPr>
            <w:tcW w:type="dxa" w:w="1152"/>
            <w:shd w:fill="F8F9F9"/>
            <w:tcMar>
              <w:top w:w="100" w:type="dxa"/>
              <w:bottom w:w="100" w:type="dxa"/>
              <w:left w:w="120" w:type="dxa"/>
              <w:right w:w="120" w:type="dxa"/>
            </w:tcMar>
          </w:tcPr>
          <w:p>
            <w:pPr>
              <w:jc w:val="center"/>
            </w:pPr>
            <w:r>
              <w:rPr>
                <w:rFonts w:ascii="Times New Roman" w:hAnsi="Times New Roman"/>
                <w:sz w:val="18"/>
              </w:rPr>
              <w:t>74.5%</w:t>
            </w:r>
          </w:p>
        </w:tc>
        <w:tc>
          <w:tcPr>
            <w:tcW w:type="dxa" w:w="1008"/>
            <w:shd w:fill="F8F9F9"/>
            <w:tcMar>
              <w:top w:w="100" w:type="dxa"/>
              <w:bottom w:w="100" w:type="dxa"/>
              <w:left w:w="120" w:type="dxa"/>
              <w:right w:w="120" w:type="dxa"/>
            </w:tcMar>
          </w:tcPr>
          <w:p>
            <w:pPr>
              <w:jc w:val="center"/>
            </w:pPr>
            <w:r>
              <w:rPr>
                <w:rFonts w:ascii="Times New Roman" w:hAnsi="Times New Roman"/>
                <w:sz w:val="18"/>
              </w:rPr>
              <w:t>92.0%</w:t>
            </w:r>
          </w:p>
        </w:tc>
        <w:tc>
          <w:tcPr>
            <w:tcW w:type="dxa" w:w="2016"/>
            <w:shd w:fill="F8F9F9"/>
            <w:tcMar>
              <w:top w:w="100" w:type="dxa"/>
              <w:bottom w:w="100" w:type="dxa"/>
              <w:left w:w="120" w:type="dxa"/>
              <w:right w:w="120" w:type="dxa"/>
            </w:tcMar>
          </w:tcPr>
          <w:p>
            <w:pPr>
              <w:jc w:val="center"/>
            </w:pPr>
            <w:r>
              <w:rPr>
                <w:rFonts w:ascii="Times New Roman" w:hAnsi="Times New Roman"/>
                <w:sz w:val="18"/>
              </w:rPr>
              <w:t>0.0000 (Ambiguous)</w:t>
            </w:r>
          </w:p>
        </w:tc>
      </w:tr>
      <w:tr>
        <w:tc>
          <w:tcPr>
            <w:tcW w:type="dxa" w:w="2592"/>
            <w:shd w:fill="FFFFFF"/>
            <w:tcMar>
              <w:top w:w="100" w:type="dxa"/>
              <w:bottom w:w="100" w:type="dxa"/>
              <w:left w:w="120" w:type="dxa"/>
              <w:right w:w="120" w:type="dxa"/>
            </w:tcMar>
          </w:tcPr>
          <w:p>
            <w:pPr>
              <w:jc w:val="left"/>
            </w:pPr>
            <w:r>
              <w:rPr>
                <w:rFonts w:ascii="Times New Roman" w:hAnsi="Times New Roman"/>
                <w:sz w:val="18"/>
              </w:rPr>
              <w:t>C_JSON: Strict JSON Schema</w:t>
            </w:r>
          </w:p>
        </w:tc>
        <w:tc>
          <w:tcPr>
            <w:tcW w:type="dxa" w:w="1008"/>
            <w:shd w:fill="FFFFFF"/>
            <w:tcMar>
              <w:top w:w="100" w:type="dxa"/>
              <w:bottom w:w="100" w:type="dxa"/>
              <w:left w:w="120" w:type="dxa"/>
              <w:right w:w="120" w:type="dxa"/>
            </w:tcMar>
          </w:tcPr>
          <w:p>
            <w:pPr>
              <w:jc w:val="center"/>
            </w:pPr>
            <w:r>
              <w:rPr>
                <w:rFonts w:ascii="Times New Roman" w:hAnsi="Times New Roman"/>
                <w:sz w:val="18"/>
              </w:rPr>
              <w:t>510</w:t>
            </w:r>
          </w:p>
        </w:tc>
        <w:tc>
          <w:tcPr>
            <w:tcW w:type="dxa" w:w="1152"/>
            <w:shd w:fill="FFFFFF"/>
            <w:tcMar>
              <w:top w:w="100" w:type="dxa"/>
              <w:bottom w:w="100" w:type="dxa"/>
              <w:left w:w="120" w:type="dxa"/>
              <w:right w:w="120" w:type="dxa"/>
            </w:tcMar>
          </w:tcPr>
          <w:p>
            <w:pPr>
              <w:jc w:val="center"/>
            </w:pPr>
            <w:r>
              <w:rPr>
                <w:rFonts w:ascii="Times New Roman" w:hAnsi="Times New Roman"/>
                <w:sz w:val="18"/>
              </w:rPr>
              <w:t>82.0%</w:t>
            </w:r>
          </w:p>
        </w:tc>
        <w:tc>
          <w:tcPr>
            <w:tcW w:type="dxa" w:w="1152"/>
            <w:shd w:fill="FFFFFF"/>
            <w:tcMar>
              <w:top w:w="100" w:type="dxa"/>
              <w:bottom w:w="100" w:type="dxa"/>
              <w:left w:w="120" w:type="dxa"/>
              <w:right w:w="120" w:type="dxa"/>
            </w:tcMar>
          </w:tcPr>
          <w:p>
            <w:pPr>
              <w:jc w:val="center"/>
            </w:pPr>
            <w:r>
              <w:rPr>
                <w:rFonts w:ascii="Times New Roman" w:hAnsi="Times New Roman"/>
                <w:sz w:val="18"/>
              </w:rPr>
              <w:t>0.9840</w:t>
            </w:r>
          </w:p>
        </w:tc>
        <w:tc>
          <w:tcPr>
            <w:tcW w:type="dxa" w:w="1152"/>
            <w:shd w:fill="FFFFFF"/>
            <w:tcMar>
              <w:top w:w="100" w:type="dxa"/>
              <w:bottom w:w="100" w:type="dxa"/>
              <w:left w:w="120" w:type="dxa"/>
              <w:right w:w="120" w:type="dxa"/>
            </w:tcMar>
          </w:tcPr>
          <w:p>
            <w:pPr>
              <w:jc w:val="center"/>
            </w:pPr>
            <w:r>
              <w:rPr>
                <w:rFonts w:ascii="Times New Roman" w:hAnsi="Times New Roman"/>
                <w:sz w:val="18"/>
              </w:rPr>
              <w:t>96.0%</w:t>
            </w:r>
          </w:p>
        </w:tc>
        <w:tc>
          <w:tcPr>
            <w:tcW w:type="dxa" w:w="1008"/>
            <w:shd w:fill="FFFFFF"/>
            <w:tcMar>
              <w:top w:w="100" w:type="dxa"/>
              <w:bottom w:w="100" w:type="dxa"/>
              <w:left w:w="120" w:type="dxa"/>
              <w:right w:w="120" w:type="dxa"/>
            </w:tcMar>
          </w:tcPr>
          <w:p>
            <w:pPr>
              <w:jc w:val="center"/>
            </w:pPr>
            <w:r>
              <w:rPr>
                <w:rFonts w:ascii="Times New Roman" w:hAnsi="Times New Roman"/>
                <w:sz w:val="18"/>
              </w:rPr>
              <w:t>98.0%</w:t>
            </w:r>
          </w:p>
        </w:tc>
        <w:tc>
          <w:tcPr>
            <w:tcW w:type="dxa" w:w="2016"/>
            <w:shd w:fill="FFFFFF"/>
            <w:tcMar>
              <w:top w:w="100" w:type="dxa"/>
              <w:bottom w:w="100" w:type="dxa"/>
              <w:left w:w="120" w:type="dxa"/>
              <w:right w:w="120" w:type="dxa"/>
            </w:tcMar>
          </w:tcPr>
          <w:p>
            <w:pPr>
              <w:jc w:val="center"/>
            </w:pPr>
            <w:r>
              <w:rPr>
                <w:rFonts w:ascii="Times New Roman" w:hAnsi="Times New Roman"/>
                <w:sz w:val="18"/>
              </w:rPr>
              <w:t>0.0000 (Verbose)</w:t>
            </w:r>
          </w:p>
        </w:tc>
      </w:tr>
      <w:tr>
        <w:tc>
          <w:tcPr>
            <w:tcW w:type="dxa" w:w="2592"/>
            <w:shd w:fill="F8F9F9"/>
            <w:tcMar>
              <w:top w:w="100" w:type="dxa"/>
              <w:bottom w:w="100" w:type="dxa"/>
              <w:left w:w="120" w:type="dxa"/>
              <w:right w:w="120" w:type="dxa"/>
            </w:tcMar>
          </w:tcPr>
          <w:p>
            <w:pPr>
              <w:jc w:val="left"/>
            </w:pPr>
            <w:r>
              <w:rPr>
                <w:rFonts w:ascii="Times New Roman" w:hAnsi="Times New Roman"/>
                <w:sz w:val="18"/>
              </w:rPr>
              <w:t>C_YAML: Canonical Deanchor YAML</w:t>
            </w:r>
          </w:p>
        </w:tc>
        <w:tc>
          <w:tcPr>
            <w:tcW w:type="dxa" w:w="1008"/>
            <w:shd w:fill="F8F9F9"/>
            <w:tcMar>
              <w:top w:w="100" w:type="dxa"/>
              <w:bottom w:w="100" w:type="dxa"/>
              <w:left w:w="120" w:type="dxa"/>
              <w:right w:w="120" w:type="dxa"/>
            </w:tcMar>
          </w:tcPr>
          <w:p>
            <w:pPr>
              <w:jc w:val="center"/>
            </w:pPr>
            <w:r>
              <w:rPr>
                <w:rFonts w:ascii="Times New Roman" w:hAnsi="Times New Roman"/>
                <w:b/>
                <w:sz w:val="18"/>
              </w:rPr>
              <w:t>345</w:t>
            </w:r>
          </w:p>
        </w:tc>
        <w:tc>
          <w:tcPr>
            <w:tcW w:type="dxa" w:w="1152"/>
            <w:shd w:fill="F8F9F9"/>
            <w:tcMar>
              <w:top w:w="100" w:type="dxa"/>
              <w:bottom w:w="100" w:type="dxa"/>
              <w:left w:w="120" w:type="dxa"/>
              <w:right w:w="120" w:type="dxa"/>
            </w:tcMar>
          </w:tcPr>
          <w:p>
            <w:pPr>
              <w:jc w:val="center"/>
            </w:pPr>
            <w:r>
              <w:rPr>
                <w:rFonts w:ascii="Times New Roman" w:hAnsi="Times New Roman"/>
                <w:b/>
                <w:sz w:val="18"/>
              </w:rPr>
              <w:t>87.9%</w:t>
            </w:r>
          </w:p>
        </w:tc>
        <w:tc>
          <w:tcPr>
            <w:tcW w:type="dxa" w:w="1152"/>
            <w:shd w:fill="F8F9F9"/>
            <w:tcMar>
              <w:top w:w="100" w:type="dxa"/>
              <w:bottom w:w="100" w:type="dxa"/>
              <w:left w:w="120" w:type="dxa"/>
              <w:right w:w="120" w:type="dxa"/>
            </w:tcMar>
          </w:tcPr>
          <w:p>
            <w:pPr>
              <w:jc w:val="center"/>
            </w:pPr>
            <w:r>
              <w:rPr>
                <w:rFonts w:ascii="Times New Roman" w:hAnsi="Times New Roman"/>
                <w:b/>
                <w:sz w:val="18"/>
              </w:rPr>
              <w:t>1.0000</w:t>
            </w:r>
          </w:p>
        </w:tc>
        <w:tc>
          <w:tcPr>
            <w:tcW w:type="dxa" w:w="1152"/>
            <w:shd w:fill="F8F9F9"/>
            <w:tcMar>
              <w:top w:w="100" w:type="dxa"/>
              <w:bottom w:w="100" w:type="dxa"/>
              <w:left w:w="120" w:type="dxa"/>
              <w:right w:w="120" w:type="dxa"/>
            </w:tcMar>
          </w:tcPr>
          <w:p>
            <w:pPr>
              <w:jc w:val="center"/>
            </w:pPr>
            <w:r>
              <w:rPr>
                <w:rFonts w:ascii="Times New Roman" w:hAnsi="Times New Roman"/>
                <w:b/>
                <w:sz w:val="18"/>
              </w:rPr>
              <w:t>99.2%</w:t>
            </w:r>
          </w:p>
        </w:tc>
        <w:tc>
          <w:tcPr>
            <w:tcW w:type="dxa" w:w="1008"/>
            <w:shd w:fill="F8F9F9"/>
            <w:tcMar>
              <w:top w:w="100" w:type="dxa"/>
              <w:bottom w:w="100" w:type="dxa"/>
              <w:left w:w="120" w:type="dxa"/>
              <w:right w:w="120" w:type="dxa"/>
            </w:tcMar>
          </w:tcPr>
          <w:p>
            <w:pPr>
              <w:jc w:val="center"/>
            </w:pPr>
            <w:r>
              <w:rPr>
                <w:rFonts w:ascii="Times New Roman" w:hAnsi="Times New Roman"/>
                <w:b/>
                <w:sz w:val="18"/>
              </w:rPr>
              <w:t>100.0%</w:t>
            </w:r>
          </w:p>
        </w:tc>
        <w:tc>
          <w:tcPr>
            <w:tcW w:type="dxa" w:w="2016"/>
            <w:shd w:fill="F8F9F9"/>
            <w:tcMar>
              <w:top w:w="100" w:type="dxa"/>
              <w:bottom w:w="100" w:type="dxa"/>
              <w:left w:w="120" w:type="dxa"/>
              <w:right w:w="120" w:type="dxa"/>
            </w:tcMar>
          </w:tcPr>
          <w:p>
            <w:pPr>
              <w:jc w:val="center"/>
            </w:pPr>
            <w:r>
              <w:rPr>
                <w:rFonts w:ascii="Times New Roman" w:hAnsi="Times New Roman"/>
                <w:b/>
                <w:sz w:val="18"/>
              </w:rPr>
              <w:t>0.0000 (Optimal)</w:t>
            </w:r>
          </w:p>
        </w:tc>
      </w:tr>
    </w:tbl>
    <w:p>
      <w:pPr>
        <w:spacing w:before="80" w:after="160"/>
      </w:pPr>
    </w:p>
    <w:p>
      <w:pPr>
        <w:spacing w:before="160" w:after="80"/>
        <w:jc w:val="center"/>
      </w:pPr>
      <w:r>
        <w:drawing>
          <wp:inline xmlns:a="http://schemas.openxmlformats.org/drawingml/2006/main" xmlns:pic="http://schemas.openxmlformats.org/drawingml/2006/picture">
            <wp:extent cx="5669280" cy="2239402"/>
            <wp:docPr id="5" name="Picture 5"/>
            <wp:cNvGraphicFramePr>
              <a:graphicFrameLocks noChangeAspect="1"/>
            </wp:cNvGraphicFramePr>
            <a:graphic>
              <a:graphicData uri="http://schemas.openxmlformats.org/drawingml/2006/picture">
                <pic:pic>
                  <pic:nvPicPr>
                    <pic:cNvPr id="0" name="fig6_ablation_study.png"/>
                    <pic:cNvPicPr/>
                  </pic:nvPicPr>
                  <pic:blipFill>
                    <a:blip r:embed="rId13"/>
                    <a:stretch>
                      <a:fillRect/>
                    </a:stretch>
                  </pic:blipFill>
                  <pic:spPr>
                    <a:xfrm>
                      <a:off x="0" y="0"/>
                      <a:ext cx="5669280" cy="2239402"/>
                    </a:xfrm>
                    <a:prstGeom prst="rect"/>
                  </pic:spPr>
                </pic:pic>
              </a:graphicData>
            </a:graphic>
          </wp:inline>
        </w:drawing>
      </w:r>
    </w:p>
    <w:p>
      <w:pPr>
        <w:spacing w:before="40" w:after="200"/>
        <w:jc w:val="center"/>
      </w:pPr>
      <w:r>
        <w:rPr>
          <w:rFonts w:ascii="Times New Roman" w:hAnsi="Times New Roman"/>
          <w:i/>
          <w:sz w:val="18"/>
        </w:rPr>
        <w:t>Figure 6: Multi-metric ablation analysis comparing conditioning representations across structural divergence, invariant retention, prompt footprint, and syntax validity.</w:t>
      </w:r>
    </w:p>
    <w:p>
      <w:pPr>
        <w:keepNext/>
        <w:spacing w:before="240" w:after="80"/>
      </w:pPr>
      <w:r>
        <w:rPr>
          <w:rFonts w:ascii="Times New Roman" w:hAnsi="Times New Roman"/>
          <w:b/>
          <w:sz w:val="24"/>
        </w:rPr>
        <w:t>5. Discussion, Practical Guidelines &amp; Key Findings</w:t>
      </w:r>
    </w:p>
    <w:p>
      <w:pPr>
        <w:keepNext/>
        <w:spacing w:before="240" w:after="80"/>
      </w:pPr>
      <w:r>
        <w:rPr>
          <w:rFonts w:ascii="Times New Roman" w:hAnsi="Times New Roman"/>
          <w:b/>
          <w:sz w:val="22"/>
        </w:rPr>
        <w:t>5.1 Key Findings and Scale Invariance</w:t>
      </w:r>
    </w:p>
    <w:p>
      <w:pPr>
        <w:spacing w:before="0" w:after="120" w:line="276" w:lineRule="auto"/>
        <w:jc w:val="both"/>
      </w:pPr>
      <w:r>
        <w:rPr>
          <w:rFonts w:ascii="Times New Roman" w:hAnsi="Times New Roman"/>
          <w:sz w:val="20"/>
        </w:rPr>
        <w:t>Our experimental results reveal three key findings: (1) The Context Window Inflation Paradox: Large context window capacities (up to 1,000,000 tokens in Nemotron 550B) do not alleviate Contextual Anchoring Bias; rather, they exacerbate it. Under standard prompting, the presence of legacy code scales the key-value cache size, saturating self-attention channels and keeping generated token values trapped in local topological states. (2) Decoupled Performance Invariance: When the Markov chain X -&gt; S -&gt; Y is enforced via Two-Stage Decoupling, local edge models (e.g., Google Gemma 2 9B IT, Qwen 2.5 Coder 30B) and remote cloud flagships (e.g., Nemotron 550B Ultra) both achieve near-perfect structural divergence (0.9400 ± 0.0514 AST divergence on local edge benchmarks; up to 1.0000 on flagship runs). This proves that the decoupling protocol is scale-invariant. (3) Token Noise Compression Limits: As repository sizes increase (beyond 1,000 LOC), the Stage 1 YAML contractor filters out between 40.3% and 94.4% of layout tokens. This maximizes the downstream model's attention resource budget, leading to cleaner syntax structures and preventing attention sink traps.</w:t>
      </w:r>
    </w:p>
    <w:p>
      <w:pPr>
        <w:spacing w:before="160" w:after="80"/>
        <w:jc w:val="center"/>
      </w:pPr>
      <w:r>
        <w:drawing>
          <wp:inline xmlns:a="http://schemas.openxmlformats.org/drawingml/2006/main" xmlns:pic="http://schemas.openxmlformats.org/drawingml/2006/picture">
            <wp:extent cx="5669280" cy="2771748"/>
            <wp:docPr id="6" name="Picture 6"/>
            <wp:cNvGraphicFramePr>
              <a:graphicFrameLocks noChangeAspect="1"/>
            </wp:cNvGraphicFramePr>
            <a:graphic>
              <a:graphicData uri="http://schemas.openxmlformats.org/drawingml/2006/picture">
                <pic:pic>
                  <pic:nvPicPr>
                    <pic:cNvPr id="0" name="fig3_noise_reduction.png"/>
                    <pic:cNvPicPr/>
                  </pic:nvPicPr>
                  <pic:blipFill>
                    <a:blip r:embed="rId14"/>
                    <a:stretch>
                      <a:fillRect/>
                    </a:stretch>
                  </pic:blipFill>
                  <pic:spPr>
                    <a:xfrm>
                      <a:off x="0" y="0"/>
                      <a:ext cx="5669280" cy="2771748"/>
                    </a:xfrm>
                    <a:prstGeom prst="rect"/>
                  </pic:spPr>
                </pic:pic>
              </a:graphicData>
            </a:graphic>
          </wp:inline>
        </w:drawing>
      </w:r>
    </w:p>
    <w:p>
      <w:pPr>
        <w:spacing w:before="40" w:after="200"/>
        <w:jc w:val="center"/>
      </w:pPr>
      <w:r>
        <w:rPr>
          <w:rFonts w:ascii="Times New Roman" w:hAnsi="Times New Roman"/>
          <w:i/>
          <w:sz w:val="18"/>
        </w:rPr>
        <w:t>Figure 7: Token presentation noise reduction percentage as a function of codebase complexity (Lines of Code).</w:t>
      </w:r>
    </w:p>
    <w:p>
      <w:pPr>
        <w:keepNext/>
        <w:spacing w:before="240" w:after="80"/>
      </w:pPr>
      <w:r>
        <w:rPr>
          <w:rFonts w:ascii="Times New Roman" w:hAnsi="Times New Roman"/>
          <w:b/>
          <w:sz w:val="22"/>
        </w:rPr>
        <w:t>5.2 Synthesized Architectural Quality</w:t>
      </w:r>
    </w:p>
    <w:p>
      <w:pPr>
        <w:spacing w:before="0" w:after="120" w:line="276" w:lineRule="auto"/>
        <w:jc w:val="both"/>
      </w:pPr>
      <w:r>
        <w:rPr>
          <w:rFonts w:ascii="Times New Roman" w:hAnsi="Times New Roman"/>
          <w:sz w:val="20"/>
        </w:rPr>
        <w:t>Frontier models evaluated in Tier 2 utilized their massive parameters to synthesize advanced, unanchored software abstractions: (1) Nemotron 550B Ultra completely restructured UI layouts using CSS Grid and integrated custom dynamic typography via Google Web Fonts; (2) Z-AI GLM 5.2 generated clean, framework-agnostic finite state machines and decoupled repository models to manage application state, purging nested prop drilling; and (3) Gemma 4 31B IT restructured imperative callback chains into pure functional TypeScript interfaces with comprehensive type safety.</w:t>
      </w:r>
    </w:p>
    <w:p>
      <w:pPr>
        <w:keepNext/>
        <w:spacing w:before="240" w:after="80"/>
      </w:pPr>
      <w:r>
        <w:rPr>
          <w:rFonts w:ascii="Times New Roman" w:hAnsi="Times New Roman"/>
          <w:b/>
          <w:sz w:val="22"/>
        </w:rPr>
        <w:t>5.3 Limitations</w:t>
      </w:r>
    </w:p>
    <w:p>
      <w:pPr>
        <w:spacing w:before="0" w:after="120" w:line="276" w:lineRule="auto"/>
        <w:jc w:val="both"/>
      </w:pPr>
      <w:r>
        <w:rPr>
          <w:rFonts w:ascii="Times New Roman" w:hAnsi="Times New Roman"/>
          <w:sz w:val="20"/>
        </w:rPr>
        <w:t>While the Two-Stage Decoupling Protocol demonstrates consistent empirical superiority across both local edge hardware and cloud frontier flagships, several research limitations must be acknowledged:</w:t>
      </w:r>
    </w:p>
    <w:p>
      <w:pPr>
        <w:spacing w:before="0" w:after="60" w:line="276" w:lineRule="auto"/>
        <w:jc w:val="both"/>
      </w:pPr>
      <w:r>
        <w:rPr>
          <w:rFonts w:ascii="Times New Roman" w:hAnsi="Times New Roman"/>
          <w:sz w:val="20"/>
        </w:rPr>
        <w:t>1. Model-Dependent Semantic Schema Extraction: The quality and completeness of the intermediate YAML schema S depend directly on the semantic parsing capability of the Stage 1 model. If a lower-capacity model omits a critical business invariant or state transition during Stage 1 distillation, the Stage 2 generation cannot recover it. Future work will investigate hybrid extraction pipelines combining AST static analysis with LLM semantic distillation.</w:t>
      </w:r>
    </w:p>
    <w:p>
      <w:pPr>
        <w:spacing w:before="0" w:after="60" w:line="276" w:lineRule="auto"/>
        <w:jc w:val="both"/>
      </w:pPr>
      <w:r>
        <w:rPr>
          <w:rFonts w:ascii="Times New Roman" w:hAnsi="Times New Roman"/>
          <w:sz w:val="20"/>
        </w:rPr>
        <w:t>2. Vocabulary vs. Topological AST Divergence: While the Jaccard-based D_AST metric rigorously measures structural tag, construct, and class name divergence (C(X) ∩ C(Y)), it evaluates vocabulary distribution changes rather than graph-isomorphism tree distance. Highly radical refactorings that preserve AST node type counts might score lower than their true cognitive divergence.</w:t>
      </w:r>
    </w:p>
    <w:p>
      <w:pPr>
        <w:spacing w:before="0" w:after="60" w:line="276" w:lineRule="auto"/>
        <w:jc w:val="both"/>
      </w:pPr>
      <w:r>
        <w:rPr>
          <w:rFonts w:ascii="Times New Roman" w:hAnsi="Times New Roman"/>
          <w:sz w:val="20"/>
        </w:rPr>
        <w:t>3. Long-Term Maintainability and Developer Ergonomics: Although an AST divergence score exceeding 0.90 confirms complete liberation from legacy presentation topology, automated metrics do not capture long-term code maintainability, team cognitive load, or developer style preferences. Comprehensive human evaluation studies with professional software engineers are required to evaluate ergonomic quality.</w:t>
      </w:r>
    </w:p>
    <w:p>
      <w:pPr>
        <w:spacing w:before="0" w:after="160" w:line="276" w:lineRule="auto"/>
        <w:jc w:val="both"/>
      </w:pPr>
      <w:r>
        <w:rPr>
          <w:rFonts w:ascii="Times New Roman" w:hAnsi="Times New Roman"/>
          <w:sz w:val="20"/>
        </w:rPr>
        <w:t>4. Scope and Dependency Graph Complexity: The current benchmark evaluates isolated components, standalone services, and single-to-multi-file repositories up to 1,465 LOC. Scaling the decoupling protocol to massive distributed enterprise monorepos with hundreds of interdependent packages requires hierarchical entity clustering and multi-stage dependency graph propagation.</w:t>
      </w:r>
    </w:p>
    <w:p>
      <w:pPr>
        <w:keepNext/>
        <w:spacing w:before="240" w:after="80"/>
      </w:pPr>
      <w:r>
        <w:rPr>
          <w:rFonts w:ascii="Times New Roman" w:hAnsi="Times New Roman"/>
          <w:b/>
          <w:sz w:val="22"/>
        </w:rPr>
        <w:t>5.4 Threats to Validity</w:t>
      </w:r>
    </w:p>
    <w:p>
      <w:pPr>
        <w:spacing w:before="0" w:after="60" w:line="276" w:lineRule="auto"/>
        <w:jc w:val="both"/>
      </w:pPr>
      <w:r>
        <w:rPr>
          <w:rFonts w:ascii="Times New Roman" w:hAnsi="Times New Roman"/>
          <w:sz w:val="20"/>
        </w:rPr>
        <w:t>We analyze threats to validity following standard empirical software engineering guidelines:</w:t>
      </w:r>
    </w:p>
    <w:p>
      <w:pPr>
        <w:spacing w:before="0" w:after="60" w:line="276" w:lineRule="auto"/>
        <w:jc w:val="both"/>
      </w:pPr>
      <w:r>
        <w:rPr>
          <w:rFonts w:ascii="Times New Roman" w:hAnsi="Times New Roman"/>
          <w:sz w:val="20"/>
        </w:rPr>
        <w:t>• Construct Validity: Construct validity concerns whether our metrics accurately operationalize 'contextual deanchoring'. We address this by combining structural AST divergence (D_AST) with semantic embedding cosine distance (D_sem) and functional syntax/test pass rates. This multi-metric triangulation ensures that high deanchoring scores reflect genuine architectural redesign rather than syntax degradation or functional hallucination.</w:t>
      </w:r>
    </w:p>
    <w:p>
      <w:pPr>
        <w:spacing w:before="0" w:after="60" w:line="276" w:lineRule="auto"/>
        <w:jc w:val="both"/>
      </w:pPr>
      <w:r>
        <w:rPr>
          <w:rFonts w:ascii="Times New Roman" w:hAnsi="Times New Roman"/>
          <w:sz w:val="20"/>
        </w:rPr>
        <w:t>• Internal Validity: Potential threats to internal validity include parser inaccuracies across heterogeneous language formats (HTML, JavaScript, TypeScript, Python) and non-deterministic model temperature sampling. To mitigate these risks, all evaluations use standardized Tree-sitter AST parsers, fixed temperature settings (T=0.2 for deterministic reproduction), and paired non-parametric statistical hypothesis testing (p &lt; 0.05).</w:t>
      </w:r>
    </w:p>
    <w:p>
      <w:pPr>
        <w:spacing w:before="0" w:after="160" w:line="276" w:lineRule="auto"/>
        <w:jc w:val="both"/>
      </w:pPr>
      <w:r>
        <w:rPr>
          <w:rFonts w:ascii="Times New Roman" w:hAnsi="Times New Roman"/>
          <w:sz w:val="20"/>
        </w:rPr>
        <w:t>• External Validity: Threats to external validity relate to the generalizability of our findings across diverse programming languages and domain paradigms. We mitigate this by curating the Bench-30 suite across five distinct software domains (UI/Frontend, Algorithmic Engines, Microservices, Security/Auth, and Data Structures) spanning multiple programming languages and framework paradigms.</w:t>
      </w:r>
    </w:p>
    <w:p>
      <w:pPr>
        <w:keepNext/>
        <w:spacing w:before="240" w:after="80"/>
      </w:pPr>
      <w:r>
        <w:rPr>
          <w:rFonts w:ascii="Times New Roman" w:hAnsi="Times New Roman"/>
          <w:b/>
          <w:sz w:val="22"/>
        </w:rPr>
        <w:t>5.5 Tool Availability and Reproducibility</w:t>
      </w:r>
    </w:p>
    <w:p>
      <w:pPr>
        <w:spacing w:before="0" w:after="120" w:line="276" w:lineRule="auto"/>
        <w:jc w:val="both"/>
      </w:pPr>
      <w:r>
        <w:rPr>
          <w:rFonts w:ascii="Times New Roman" w:hAnsi="Times New Roman"/>
          <w:sz w:val="20"/>
        </w:rPr>
        <w:t>To facilitate replication and practical adoption, all experimental artifacts, benchmark repositories, scoring pipelines, and the standalone deanchor command-line engine are released as an open-source research artifact. The replication package includes: (1) Full benchmark source repositories and test harnesses in datasets/deanchor_bench_30/; (2) Automated multi-tier execution and scoring scripts in scripts/run_bench_30_real.py; (3) Complete captured inference outputs and execution logs across all 4 experimental conditions in experiments/bench_30_runs/; (4) Raw measured telemetry and statistical computation matrices in results/bench_30_measured_results.json. The repository is publicly accessible at: https://github.com/muhammadmaroof11/deanchor.</w:t>
      </w:r>
    </w:p>
    <w:p>
      <w:pPr>
        <w:keepNext/>
        <w:spacing w:before="240" w:after="80"/>
      </w:pPr>
      <w:r>
        <w:rPr>
          <w:rFonts w:ascii="Times New Roman" w:hAnsi="Times New Roman"/>
          <w:b/>
          <w:sz w:val="24"/>
        </w:rPr>
        <w:t>6. Conclusion</w:t>
      </w:r>
    </w:p>
    <w:p>
      <w:pPr>
        <w:spacing w:before="0" w:after="120" w:line="276" w:lineRule="auto"/>
        <w:jc w:val="both"/>
      </w:pPr>
      <w:r>
        <w:rPr>
          <w:rFonts w:ascii="Times New Roman" w:hAnsi="Times New Roman"/>
          <w:sz w:val="20"/>
        </w:rPr>
        <w:t>Contextual Anchoring Bias is an inherent architectural vulnerability in direct code-to-code conditioning for Large Language Models. In this paper, we formalized the theoretical and empirical foundations of topological attention collapse under the Contextual Anchoring Hypothesis, proved RoPE positional encoding invariance, and validated the Two-Stage Decoupling Protocol across a Two-Tier Separated Benchmarking Framework spanning local edge hardware and cloud frontier flagship models. By establishing an information-theoretic Markov chain X -&gt; S -&gt; Y, our framework eliminates up to 94.4% of presentation noise, achieving statistically significant AST structural divergence gains (0.9400 ± 0.0514, p = 0.0273 &lt; 0.05) with 100% syntax validity across local edge hardware and ultra-scale cloud flagship architectures.</w:t>
      </w:r>
    </w:p>
    <w:p>
      <w:pPr>
        <w:keepNext/>
        <w:spacing w:before="240" w:after="80"/>
      </w:pPr>
      <w:r>
        <w:rPr>
          <w:rFonts w:ascii="Times New Roman" w:hAnsi="Times New Roman"/>
          <w:b/>
          <w:sz w:val="24"/>
        </w:rPr>
        <w:t>8. References</w:t>
      </w:r>
    </w:p>
    <w:p>
      <w:pPr>
        <w:spacing w:before="40" w:after="80" w:line="276" w:lineRule="auto"/>
        <w:ind w:left="576" w:hanging="576"/>
        <w:jc w:val="both"/>
      </w:pPr>
      <w:r>
        <w:rPr>
          <w:rFonts w:ascii="Times New Roman" w:hAnsi="Times New Roman"/>
          <w:sz w:val="19"/>
        </w:rPr>
        <w:t>Achiam, J., Adler, S., Agarwal, S., Ahmad, L., Akkaya, I., Aleman, F. L., ... &amp; Brockman, G. (2023). GPT-4 technical report. arXiv preprint arXiv:2303.08774.</w:t>
      </w:r>
    </w:p>
    <w:p>
      <w:pPr>
        <w:spacing w:before="40" w:after="80" w:line="276" w:lineRule="auto"/>
        <w:ind w:left="576" w:hanging="576"/>
        <w:jc w:val="both"/>
      </w:pPr>
      <w:r>
        <w:rPr>
          <w:rFonts w:ascii="Times New Roman" w:hAnsi="Times New Roman"/>
          <w:sz w:val="19"/>
        </w:rPr>
        <w:t>Austin, J., Odena, A., Nye, M., Bosma, M., Michalewski, H., Dohan, D., ... &amp; Sutton, C. (2021). Program synthesis with large language models. arXiv preprint arXiv:2108.07732.</w:t>
      </w:r>
    </w:p>
    <w:p>
      <w:pPr>
        <w:spacing w:before="40" w:after="80" w:line="276" w:lineRule="auto"/>
        <w:ind w:left="576" w:hanging="576"/>
        <w:jc w:val="both"/>
      </w:pPr>
      <w:r>
        <w:rPr>
          <w:rFonts w:ascii="Times New Roman" w:hAnsi="Times New Roman"/>
          <w:sz w:val="19"/>
        </w:rPr>
        <w:t>Brown, T., Mann, B., Ryder, N., Subbiah, M., Kaplan, J. D., Dhariwal, P., ... &amp; Amodei, D. (2020). Language models are few-shot learners. Advances in Neural Information Processing Systems (NeurIPS 2020), 33, 1877-1901.</w:t>
      </w:r>
    </w:p>
    <w:p>
      <w:pPr>
        <w:spacing w:before="40" w:after="80" w:line="276" w:lineRule="auto"/>
        <w:ind w:left="576" w:hanging="576"/>
        <w:jc w:val="both"/>
      </w:pPr>
      <w:r>
        <w:rPr>
          <w:rFonts w:ascii="Times New Roman" w:hAnsi="Times New Roman"/>
          <w:sz w:val="19"/>
        </w:rPr>
        <w:t>Chen, M., Tworek, J., Jun, H., Yuan, Q., Pinto, H. P. d. O., Kaplan, J., ... &amp; Zaremba, W. (2021). Evaluating large language models trained on code. arXiv preprint arXiv:2107.03374.</w:t>
      </w:r>
    </w:p>
    <w:p>
      <w:pPr>
        <w:spacing w:before="40" w:after="80" w:line="276" w:lineRule="auto"/>
        <w:ind w:left="576" w:hanging="576"/>
        <w:jc w:val="both"/>
      </w:pPr>
      <w:r>
        <w:rPr>
          <w:rFonts w:ascii="Times New Roman" w:hAnsi="Times New Roman"/>
          <w:sz w:val="19"/>
        </w:rPr>
        <w:t>Chen, X., Lin, M., Schärli, N., &amp; Zhou, D. (2024). Teaching large language models to self-debug. International Conference on Learning Representations (ICLR 2024).</w:t>
      </w:r>
    </w:p>
    <w:p>
      <w:pPr>
        <w:spacing w:before="40" w:after="80" w:line="276" w:lineRule="auto"/>
        <w:ind w:left="576" w:hanging="576"/>
        <w:jc w:val="both"/>
      </w:pPr>
      <w:r>
        <w:rPr>
          <w:rFonts w:ascii="Times New Roman" w:hAnsi="Times New Roman"/>
          <w:sz w:val="19"/>
        </w:rPr>
        <w:t>Cover, T. M., &amp; Thomas, J. A. (2006). Elements of Information Theory (2nd ed.). John Wiley &amp; Sons.</w:t>
      </w:r>
    </w:p>
    <w:p>
      <w:pPr>
        <w:spacing w:before="40" w:after="80" w:line="276" w:lineRule="auto"/>
        <w:ind w:left="576" w:hanging="576"/>
        <w:jc w:val="both"/>
      </w:pPr>
      <w:r>
        <w:rPr>
          <w:rFonts w:ascii="Times New Roman" w:hAnsi="Times New Roman"/>
          <w:sz w:val="19"/>
        </w:rPr>
        <w:t>Dettmers, T., Pagnoni, A., Holtzman, A., &amp; Zettlemoyer, L. (2023). QLoRA: Efficient finetuning of quantized LLMs. Advances in Neural Information Processing Systems (NeurIPS 2023), 36, 10088-10115.</w:t>
      </w:r>
    </w:p>
    <w:p>
      <w:pPr>
        <w:spacing w:before="40" w:after="80" w:line="276" w:lineRule="auto"/>
        <w:ind w:left="576" w:hanging="576"/>
        <w:jc w:val="both"/>
      </w:pPr>
      <w:r>
        <w:rPr>
          <w:rFonts w:ascii="Times New Roman" w:hAnsi="Times New Roman"/>
          <w:sz w:val="19"/>
        </w:rPr>
        <w:t>Epley, N., &amp; Gilovich, T. (2006). The anchoring-and-adjustment heuristic: Why the adjustments are insufficient. Psychological Science, 17(4), 311-318.</w:t>
      </w:r>
    </w:p>
    <w:p>
      <w:pPr>
        <w:spacing w:before="40" w:after="80" w:line="276" w:lineRule="auto"/>
        <w:ind w:left="576" w:hanging="576"/>
        <w:jc w:val="both"/>
      </w:pPr>
      <w:r>
        <w:rPr>
          <w:rFonts w:ascii="Times New Roman" w:hAnsi="Times New Roman"/>
          <w:sz w:val="19"/>
        </w:rPr>
        <w:t>Furnham, A., &amp; Boo, H. C. (2011). A literature review of the anchoring effect. The Journal of Socio-Economics, 40(1), 35-42.</w:t>
      </w:r>
    </w:p>
    <w:p>
      <w:pPr>
        <w:spacing w:before="40" w:after="80" w:line="276" w:lineRule="auto"/>
        <w:ind w:left="576" w:hanging="576"/>
        <w:jc w:val="both"/>
      </w:pPr>
      <w:r>
        <w:rPr>
          <w:rFonts w:ascii="Times New Roman" w:hAnsi="Times New Roman"/>
          <w:sz w:val="19"/>
        </w:rPr>
        <w:t>Guo, D., Zhu, Q., Yang, D., Xie, Z., Dong, K., Zhang, W., ... &amp; Liang, W. (2024). DeepSeek-Coder: When the large language model meets programming--The rise of code intelligence. arXiv preprint arXiv:2401.14196.</w:t>
      </w:r>
    </w:p>
    <w:p>
      <w:pPr>
        <w:spacing w:before="40" w:after="80" w:line="276" w:lineRule="auto"/>
        <w:ind w:left="576" w:hanging="576"/>
        <w:jc w:val="both"/>
      </w:pPr>
      <w:r>
        <w:rPr>
          <w:rFonts w:ascii="Times New Roman" w:hAnsi="Times New Roman"/>
          <w:sz w:val="19"/>
        </w:rPr>
        <w:t>Hendrycks, D., Basart, S., Kadavath, S., Mantry, M., Miller, A., Zou, A., ... &amp; Steinhardt, J. (2021). Measuring coding challenge competence with APPS. Advances in Neural Information Processing Systems (NeurIPS 2021), 34, 23631-23643.</w:t>
      </w:r>
    </w:p>
    <w:p>
      <w:pPr>
        <w:spacing w:before="40" w:after="80" w:line="276" w:lineRule="auto"/>
        <w:ind w:left="576" w:hanging="576"/>
        <w:jc w:val="both"/>
      </w:pPr>
      <w:r>
        <w:rPr>
          <w:rFonts w:ascii="Times New Roman" w:hAnsi="Times New Roman"/>
          <w:sz w:val="19"/>
        </w:rPr>
        <w:t>Hu, E. J., Shen, Y., Wallis, P., Allen-Zhu, Z., Li, Y., Wang, S., ... &amp; Chen, W. (2022). LoRA: Low-rank adaptation of large language models. International Conference on Learning Representations (ICLR 2022).</w:t>
      </w:r>
    </w:p>
    <w:p>
      <w:pPr>
        <w:spacing w:before="40" w:after="80" w:line="276" w:lineRule="auto"/>
        <w:ind w:left="576" w:hanging="576"/>
        <w:jc w:val="both"/>
      </w:pPr>
      <w:r>
        <w:rPr>
          <w:rFonts w:ascii="Times New Roman" w:hAnsi="Times New Roman"/>
          <w:sz w:val="19"/>
        </w:rPr>
        <w:t>Hui, B., Yang, J., Cui, Z., Yang, J., Liu, D., Zhang, L., ... &amp; Dang, K. (2024). Qwen2.5-Coder technical report. arXiv preprint arXiv:2409.12186.</w:t>
      </w:r>
    </w:p>
    <w:p>
      <w:pPr>
        <w:spacing w:before="40" w:after="80" w:line="276" w:lineRule="auto"/>
        <w:ind w:left="576" w:hanging="576"/>
        <w:jc w:val="both"/>
      </w:pPr>
      <w:r>
        <w:rPr>
          <w:rFonts w:ascii="Times New Roman" w:hAnsi="Times New Roman"/>
          <w:sz w:val="19"/>
        </w:rPr>
        <w:t>Jiang, A. Q., Sablayrolles, A., Mensch, A., Bamford, C., Chaplot, D. S., Casas, D. d. l., ... &amp; Lample, G. (2023). Mistral 7B. arXiv preprint arXiv:2310.06825.</w:t>
      </w:r>
    </w:p>
    <w:p>
      <w:pPr>
        <w:spacing w:before="40" w:after="80" w:line="276" w:lineRule="auto"/>
        <w:ind w:left="576" w:hanging="576"/>
        <w:jc w:val="both"/>
      </w:pPr>
      <w:r>
        <w:rPr>
          <w:rFonts w:ascii="Times New Roman" w:hAnsi="Times New Roman"/>
          <w:sz w:val="19"/>
        </w:rPr>
        <w:t>Jimenez, C. E., Yang, J., Wettig, A., Yao, S., Pei, K., Press, O., &amp; Narasimhan, K. (2024). SWE-bench: Can language models resolve real-world GitHub issues? International Conference on Learning Representations (ICLR 2024).</w:t>
      </w:r>
    </w:p>
    <w:p>
      <w:pPr>
        <w:spacing w:before="40" w:after="80" w:line="276" w:lineRule="auto"/>
        <w:ind w:left="576" w:hanging="576"/>
        <w:jc w:val="both"/>
      </w:pPr>
      <w:r>
        <w:rPr>
          <w:rFonts w:ascii="Times New Roman" w:hAnsi="Times New Roman"/>
          <w:sz w:val="19"/>
        </w:rPr>
        <w:t>Jones, E., &amp; Steinhardt, J. (2022). Capturing failures of large language models via human cognitive biases. Advances in Neural Information Processing Systems (NeurIPS 2022), 35, 11785-11799.</w:t>
      </w:r>
    </w:p>
    <w:p>
      <w:pPr>
        <w:spacing w:before="40" w:after="80" w:line="276" w:lineRule="auto"/>
        <w:ind w:left="576" w:hanging="576"/>
        <w:jc w:val="both"/>
      </w:pPr>
      <w:r>
        <w:rPr>
          <w:rFonts w:ascii="Times New Roman" w:hAnsi="Times New Roman"/>
          <w:sz w:val="19"/>
        </w:rPr>
        <w:t>Li, R., Allal, L. B., Zi, Y., Muennighoff, N., Kocetkov, D., Mou, C., ... &amp; Harm de Vries. (2023). StarCoder: May the source be with you! Transactions on Machine Learning Research (TMLR).</w:t>
      </w:r>
    </w:p>
    <w:p>
      <w:pPr>
        <w:spacing w:before="40" w:after="80" w:line="276" w:lineRule="auto"/>
        <w:ind w:left="576" w:hanging="576"/>
        <w:jc w:val="both"/>
      </w:pPr>
      <w:r>
        <w:rPr>
          <w:rFonts w:ascii="Times New Roman" w:hAnsi="Times New Roman"/>
          <w:sz w:val="19"/>
        </w:rPr>
        <w:t>Li, Y., Choi, D., Chung, J., Kushman, N., Schrittwieser, J., Leblond, R., ... &amp; Vinyals, O. (2022). Competition-level code generation with AlphaCode. Science, 378(6624), 1092-1097.</w:t>
      </w:r>
    </w:p>
    <w:p>
      <w:pPr>
        <w:spacing w:before="40" w:after="80" w:line="276" w:lineRule="auto"/>
        <w:ind w:left="576" w:hanging="576"/>
        <w:jc w:val="both"/>
      </w:pPr>
      <w:r>
        <w:rPr>
          <w:rFonts w:ascii="Times New Roman" w:hAnsi="Times New Roman"/>
          <w:sz w:val="19"/>
        </w:rPr>
        <w:t>Liu, N. F., Lin, K., Hewitt, J., Paranjape, A., Bevilacqua, M., Petroni, F., &amp; Liang, P. (2024). Lost in the middle: How language models use long contexts. Transactions of the Association for Computational Linguistics (TACL), 12, 157-173.</w:t>
      </w:r>
    </w:p>
    <w:p>
      <w:pPr>
        <w:spacing w:before="40" w:after="80" w:line="276" w:lineRule="auto"/>
        <w:ind w:left="576" w:hanging="576"/>
        <w:jc w:val="both"/>
      </w:pPr>
      <w:r>
        <w:rPr>
          <w:rFonts w:ascii="Times New Roman" w:hAnsi="Times New Roman"/>
          <w:sz w:val="19"/>
        </w:rPr>
        <w:t>Liu, X., Chen, G., &amp; Wang, W. (2026). SinkTrack: Attention sink based context anchoring for large language models. International Conference on Learning Representations (ICLR 2026).</w:t>
      </w:r>
    </w:p>
    <w:p>
      <w:pPr>
        <w:spacing w:before="40" w:after="80" w:line="276" w:lineRule="auto"/>
        <w:ind w:left="576" w:hanging="576"/>
        <w:jc w:val="both"/>
      </w:pPr>
      <w:r>
        <w:rPr>
          <w:rFonts w:ascii="Times New Roman" w:hAnsi="Times New Roman"/>
          <w:sz w:val="19"/>
        </w:rPr>
        <w:t>Lozhkov, A., Li, R., Allal, L. B., Cassano, F., Lamy-Poirier, J., Tazi, N., ... &amp; von Werra, L. (2024). StarCoder 2 and The Stack v2: The next generation. arXiv preprint arXiv:2402.19173.</w:t>
      </w:r>
    </w:p>
    <w:p>
      <w:pPr>
        <w:spacing w:before="40" w:after="80" w:line="276" w:lineRule="auto"/>
        <w:ind w:left="576" w:hanging="576"/>
        <w:jc w:val="both"/>
      </w:pPr>
      <w:r>
        <w:rPr>
          <w:rFonts w:ascii="Times New Roman" w:hAnsi="Times New Roman"/>
          <w:sz w:val="19"/>
        </w:rPr>
        <w:t>Madaan, A., Tandon, N., Gupta, P., Hallinan, S., Gao, L., Wiegreffe, S., ... &amp; Yang, Y. (2023). Self-Refine: Iterative refinement with self-feedback. Advances in Neural Information Processing Systems (NeurIPS 2023), 36, 46534-46594.</w:t>
      </w:r>
    </w:p>
    <w:p>
      <w:pPr>
        <w:spacing w:before="40" w:after="80" w:line="276" w:lineRule="auto"/>
        <w:ind w:left="576" w:hanging="576"/>
        <w:jc w:val="both"/>
      </w:pPr>
      <w:r>
        <w:rPr>
          <w:rFonts w:ascii="Times New Roman" w:hAnsi="Times New Roman"/>
          <w:sz w:val="19"/>
        </w:rPr>
        <w:t>Olausson, T. X., Inala, J. P., Wang, C., Gao, J., &amp; Solar-Lezama, A. (2024). Is self-repair a silver bullet for code generation? International Conference on Learning Representations (ICLR 2024).</w:t>
      </w:r>
    </w:p>
    <w:p>
      <w:pPr>
        <w:spacing w:before="40" w:after="80" w:line="276" w:lineRule="auto"/>
        <w:ind w:left="576" w:hanging="576"/>
        <w:jc w:val="both"/>
      </w:pPr>
      <w:r>
        <w:rPr>
          <w:rFonts w:ascii="Times New Roman" w:hAnsi="Times New Roman"/>
          <w:sz w:val="19"/>
        </w:rPr>
        <w:t>Pourreza, M., &amp; Rafiei, D. (2023). DIN-SQL: Decomposed in-context learning of text-to-SQL with self-correction. Advances in Neural Information Processing Systems (NeurIPS 2023), 36, 37588-37604.</w:t>
      </w:r>
    </w:p>
    <w:p>
      <w:pPr>
        <w:spacing w:before="40" w:after="80" w:line="276" w:lineRule="auto"/>
        <w:ind w:left="576" w:hanging="576"/>
        <w:jc w:val="both"/>
      </w:pPr>
      <w:r>
        <w:rPr>
          <w:rFonts w:ascii="Times New Roman" w:hAnsi="Times New Roman"/>
          <w:sz w:val="19"/>
        </w:rPr>
        <w:t>Rozière, B., Gehring, J., Gloeckle, F., Sootla, S., Gat, I., Tan, X. E., ... &amp; Synnaeve, G. (2023). Code Llama: Open foundation models for code. arXiv preprint arXiv:2308.12950.</w:t>
      </w:r>
    </w:p>
    <w:p>
      <w:pPr>
        <w:spacing w:before="40" w:after="80" w:line="276" w:lineRule="auto"/>
        <w:ind w:left="576" w:hanging="576"/>
        <w:jc w:val="both"/>
      </w:pPr>
      <w:r>
        <w:rPr>
          <w:rFonts w:ascii="Times New Roman" w:hAnsi="Times New Roman"/>
          <w:sz w:val="19"/>
        </w:rPr>
        <w:t>Shannon, C. E. (1948). A mathematical theory of communication. The Bell System Technical Journal, 27(3), 379-423.</w:t>
      </w:r>
    </w:p>
    <w:p>
      <w:pPr>
        <w:spacing w:before="40" w:after="80" w:line="276" w:lineRule="auto"/>
        <w:ind w:left="576" w:hanging="576"/>
        <w:jc w:val="both"/>
      </w:pPr>
      <w:r>
        <w:rPr>
          <w:rFonts w:ascii="Times New Roman" w:hAnsi="Times New Roman"/>
          <w:sz w:val="19"/>
        </w:rPr>
        <w:t>Shinn, N., Cassano, F., Gopinath, A., Narasimhan, K., &amp; Yao, S. (2023). Reflexion: Language agents with verbal reinforcement learning. Advances in Neural Information Processing Systems (NeurIPS 2023), 36, 8634-8652.</w:t>
      </w:r>
    </w:p>
    <w:p>
      <w:pPr>
        <w:spacing w:before="40" w:after="80" w:line="276" w:lineRule="auto"/>
        <w:ind w:left="576" w:hanging="576"/>
        <w:jc w:val="both"/>
      </w:pPr>
      <w:r>
        <w:rPr>
          <w:rFonts w:ascii="Times New Roman" w:hAnsi="Times New Roman"/>
          <w:sz w:val="19"/>
        </w:rPr>
        <w:t>Su, J., Ahmed, M., Lu, Y., Pan, S., Bo, W., &amp; Liu, Y. (2024). RoFormer: Enhanced transformer with rotary position embedding. Neurocomputing, 568, 127063.</w:t>
      </w:r>
    </w:p>
    <w:p>
      <w:pPr>
        <w:spacing w:before="40" w:after="80" w:line="276" w:lineRule="auto"/>
        <w:ind w:left="576" w:hanging="576"/>
        <w:jc w:val="both"/>
      </w:pPr>
      <w:r>
        <w:rPr>
          <w:rFonts w:ascii="Times New Roman" w:hAnsi="Times New Roman"/>
          <w:sz w:val="19"/>
        </w:rPr>
        <w:t>Team, G., Riviere, M., Pathak, S., Sessa, P. G., Griffiths, C., Hu, S., ... &amp; Ramachandran, P. (2024). Gemma 2: Improving open language models at a practical scale. Google DeepMind Technical Report.</w:t>
      </w:r>
    </w:p>
    <w:p>
      <w:pPr>
        <w:spacing w:before="40" w:after="80" w:line="276" w:lineRule="auto"/>
        <w:ind w:left="576" w:hanging="576"/>
        <w:jc w:val="both"/>
      </w:pPr>
      <w:r>
        <w:rPr>
          <w:rFonts w:ascii="Times New Roman" w:hAnsi="Times New Roman"/>
          <w:sz w:val="19"/>
        </w:rPr>
        <w:t>Touvron, H., Martin, L., Stone, K., Albert, P., Almahairi, A., Babaei, Y., ... &amp; Scialom, T. (2023). Llama 2: Open foundation and fine-tuned chat models. arXiv preprint arXiv:2307.09288.</w:t>
      </w:r>
    </w:p>
    <w:p>
      <w:pPr>
        <w:spacing w:before="40" w:after="80" w:line="276" w:lineRule="auto"/>
        <w:ind w:left="576" w:hanging="576"/>
        <w:jc w:val="both"/>
      </w:pPr>
      <w:r>
        <w:rPr>
          <w:rFonts w:ascii="Times New Roman" w:hAnsi="Times New Roman"/>
          <w:sz w:val="19"/>
        </w:rPr>
        <w:t>Touvron, H., Lavril, T., Izacard, G., Martinet, X., Lachaux, M. A., Lacroix, T., ... &amp; Lample, G. (2023). LLaMA: Open and efficient foundation language models. arXiv preprint arXiv:2302.13971.</w:t>
      </w:r>
    </w:p>
    <w:p>
      <w:pPr>
        <w:spacing w:before="40" w:after="80" w:line="276" w:lineRule="auto"/>
        <w:ind w:left="576" w:hanging="576"/>
        <w:jc w:val="both"/>
      </w:pPr>
      <w:r>
        <w:rPr>
          <w:rFonts w:ascii="Times New Roman" w:hAnsi="Times New Roman"/>
          <w:sz w:val="19"/>
        </w:rPr>
        <w:t>Tversky, A., &amp; Kahneman, D. (1974). Judgment under uncertainty: Heuristics and biases. Science, 185(4157), 1124-1131.</w:t>
      </w:r>
    </w:p>
    <w:p>
      <w:pPr>
        <w:spacing w:before="40" w:after="80" w:line="276" w:lineRule="auto"/>
        <w:ind w:left="576" w:hanging="576"/>
        <w:jc w:val="both"/>
      </w:pPr>
      <w:r>
        <w:rPr>
          <w:rFonts w:ascii="Times New Roman" w:hAnsi="Times New Roman"/>
          <w:sz w:val="19"/>
        </w:rPr>
        <w:t>Vaswani, A., Shazeer, N., Parmar, N., Uszkoreit, J., Jones, L., Gomez, A. N., ... &amp; Polosukhin, I. (2017). Attention is all you need. Advances in Neural Information Processing Systems (NeurIPS 2017), 30, 5998-6008.</w:t>
      </w:r>
    </w:p>
    <w:p>
      <w:pPr>
        <w:spacing w:before="40" w:after="80" w:line="276" w:lineRule="auto"/>
        <w:ind w:left="576" w:hanging="576"/>
        <w:jc w:val="both"/>
      </w:pPr>
      <w:r>
        <w:rPr>
          <w:rFonts w:ascii="Times New Roman" w:hAnsi="Times New Roman"/>
          <w:sz w:val="19"/>
        </w:rPr>
        <w:t>Wei, J., Wang, X., Schuurmans, D., Bosma, M., Xia, F., Chi, E., ... &amp; Zhou, D. (2022). Chain-of-thought prompting elicits reasoning in large language models. Advances in Neural Information Processing Systems (NeurIPS 2022), 35, 24824-24837.</w:t>
      </w:r>
    </w:p>
    <w:p>
      <w:pPr>
        <w:spacing w:before="40" w:after="80" w:line="276" w:lineRule="auto"/>
        <w:ind w:left="576" w:hanging="576"/>
        <w:jc w:val="both"/>
      </w:pPr>
      <w:r>
        <w:rPr>
          <w:rFonts w:ascii="Times New Roman" w:hAnsi="Times New Roman"/>
          <w:sz w:val="19"/>
        </w:rPr>
        <w:t>Xiao, G., Tian, Y., Chen, B., Han, S., &amp; Lewis, M. (2024). Efficient streaming language models with attention sinks. International Conference on Learning Representations (ICLR 2024).</w:t>
      </w:r>
    </w:p>
    <w:p>
      <w:pPr>
        <w:spacing w:before="40" w:after="80" w:line="276" w:lineRule="auto"/>
        <w:ind w:left="576" w:hanging="576"/>
        <w:jc w:val="both"/>
      </w:pPr>
      <w:r>
        <w:rPr>
          <w:rFonts w:ascii="Times New Roman" w:hAnsi="Times New Roman"/>
          <w:sz w:val="19"/>
        </w:rPr>
        <w:t>Zhang, K., Li, G., Li, J., Li, Z., &amp; Jin, Z. (2023). Self-Edit: Fault-aware code editor for code generation. Annual Meeting of the Association for Computational Linguistics (ACL 2023), 769-787.</w:t>
      </w:r>
    </w:p>
    <w:p>
      <w:pPr>
        <w:spacing w:before="40" w:after="80" w:line="276" w:lineRule="auto"/>
        <w:ind w:left="576" w:hanging="576"/>
        <w:jc w:val="both"/>
      </w:pPr>
      <w:r>
        <w:rPr>
          <w:rFonts w:ascii="Times New Roman" w:hAnsi="Times New Roman"/>
          <w:sz w:val="19"/>
        </w:rPr>
        <w:t>Zhang, T., Kishore, V., Wu, F., Weinberger, K. Q., &amp; Artzi, Y. (2020). BERTScore: Evaluating text generation with BERT. International Conference on Learning Representations (ICLR 2020).</w:t>
      </w:r>
    </w:p>
    <w:p>
      <w:pPr>
        <w:spacing w:before="40" w:after="80" w:line="276" w:lineRule="auto"/>
        <w:ind w:left="576" w:hanging="576"/>
        <w:jc w:val="both"/>
      </w:pPr>
      <w:r>
        <w:rPr>
          <w:rFonts w:ascii="Times New Roman" w:hAnsi="Times New Roman"/>
          <w:sz w:val="19"/>
        </w:rPr>
        <w:t>Zhou, S., Alon, U., Agarwal, S., &amp; Neubig, G. (2023). CodeBERTScore: Evaluating code generation with pretrained models of code. Findings of the Association for Computational Linguistics (EMNLP 2023), 13921-13937.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