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color w:val="000000"/>
          <w:sz w:val="30"/>
        </w:rPr>
        <w:t>Deanchoring Contextual Inertia in Large Language Models:</w:t>
        <w:br/>
        <w:t>A Two-Stage Semantic Decoupling Architecture for</w:t>
        <w:br/>
        <w:t>Unconstrained Code and Interface Synthesis</w:t>
      </w:r>
    </w:p>
    <w:p>
      <w:pPr>
        <w:spacing w:after="60"/>
        <w:jc w:val="center"/>
      </w:pPr>
      <w:r>
        <w:rPr>
          <w:rFonts w:ascii="Times New Roman" w:hAnsi="Times New Roman"/>
          <w:sz w:val="20"/>
        </w:rPr>
        <w:t>Muhammad Maroof</w:t>
        <w:br/>
        <w:t>Department of Computer Science, University of Education, Township Campus, Lahore, Pakistan</w:t>
      </w:r>
    </w:p>
    <w:p>
      <w:pPr>
        <w:spacing w:after="240"/>
        <w:jc w:val="center"/>
      </w:pPr>
      <w:r>
        <w:rPr>
          <w:rFonts w:ascii="Times New Roman" w:hAnsi="Times New Roman"/>
          <w:i/>
          <w:sz w:val="19"/>
        </w:rPr>
        <w:t>Hardware Benchmark: NVIDIA GeForce RTX 3080 Tensor Core GPU (10GB VRAM + 32GB RAM)</w:t>
      </w:r>
    </w:p>
    <w:p>
      <w:pPr>
        <w:spacing w:before="120" w:after="80"/>
      </w:pPr>
      <w:r>
        <w:rPr>
          <w:rFonts w:ascii="Times New Roman" w:hAnsi="Times New Roman"/>
          <w:b/>
          <w:sz w:val="20"/>
        </w:rPr>
        <w:t>ABSTRACT</w:t>
      </w:r>
    </w:p>
    <w:p>
      <w:pPr>
        <w:spacing w:before="0" w:after="120" w:line="276" w:lineRule="auto"/>
        <w:jc w:val="both"/>
      </w:pPr>
      <w:r>
        <w:rPr>
          <w:rFonts w:ascii="Times New Roman" w:hAnsi="Times New Roman"/>
          <w:sz w:val="20"/>
        </w:rPr>
        <w:t>When instruction-tuned Large Language Models (LLMs) are tasked with redesigning, refactoring, or optimizing existing software and user interface codebases, they suffer from severe Contextual Anchoring Bias—an intrinsic attention failure where self-attention heads allocate disproportionate probability mass to legacy syntactic and visual tokens in the prompt prefix. Consequently, state-of-the-art models frequently produce trivial aesthetic mutations (e.g., hexadecimal color swaps, variable renaming) rather than fundamental architectural transformations, achieving structural Abstract Syntax Tree (AST) divergence scores below 0.02 under standard zero-shot prompting. In this paper, we mathematically formalize the Contextual Anchoring Theorem by decomposing code entropy into functional domain requirements H(D) and presentation topology H(T | D). We propose the Two-Stage Deanchoring Decoupling Protocol, which strictly eliminates legacy layout tokens from the generative context by compressing raw code into an intermediate semantic entity-action YAML contract (Stage 1) before synthesizing clean-slate implementations (Stage 2). To evaluate this framework, we conduct rigorous hardware-accelerated empirical benchmarks across 8 local edge foundation models on an NVIDIA RTX 3080 GPU (augmented with system RAM offloading) and 8 remote cloud frontier flagship models over APIs, spanning synthetic components, a 1,465-line enterprise SecOps command center, and complete full-stack production repositories. Our experimental results prove that Two-Stage Decoupling achieves near-perfect unanchored synthesis (0.80–1.00 AST divergence) while filtering 53.1% to 100.0% of presentation noise, outperforming base zero-shot baselines by over 50x. Finally, we present the production-ready deanchor CLI engine, enabling automated, sub-15-second blank-slate code synthesis.</w:t>
      </w:r>
    </w:p>
    <w:p>
      <w:pPr>
        <w:spacing w:after="240"/>
      </w:pPr>
      <w:r>
        <w:rPr>
          <w:rFonts w:ascii="Times New Roman" w:hAnsi="Times New Roman"/>
          <w:b/>
          <w:sz w:val="20"/>
        </w:rPr>
        <w:t xml:space="preserve">Keywords: </w:t>
      </w:r>
      <w:r>
        <w:rPr>
          <w:rFonts w:ascii="Times New Roman" w:hAnsi="Times New Roman"/>
          <w:sz w:val="20"/>
        </w:rPr>
        <w:t>Large Language Models, Contextual Anchoring, Attention Sinks, Code Generation, Two-Stage Decoupling, Abstract Syntax Tree Divergence, Sliding Window Attention.</w:t>
      </w:r>
    </w:p>
    <w:p>
      <w:pPr>
        <w:keepNext/>
        <w:spacing w:before="240" w:after="80"/>
      </w:pPr>
      <w:r>
        <w:rPr>
          <w:rFonts w:ascii="Times New Roman" w:hAnsi="Times New Roman"/>
          <w:b/>
          <w:sz w:val="24"/>
        </w:rPr>
        <w:t>1. Introduction</w:t>
      </w:r>
    </w:p>
    <w:p>
      <w:pPr>
        <w:spacing w:before="0" w:after="120" w:line="276" w:lineRule="auto"/>
        <w:jc w:val="both"/>
      </w:pPr>
      <w:r>
        <w:rPr>
          <w:rFonts w:ascii="Times New Roman" w:hAnsi="Times New Roman"/>
          <w:sz w:val="20"/>
        </w:rPr>
        <w:t>Large Language Models (LLMs) have fundamentally transformed automated software engineering, algorithmic synthesis, and interface generation (Vaswani et al., 2017; Chen et al., 2021). However, when prompted to fundamentally redesign or modernize legacy codebases, contemporary transformer architectures suffer from an acute systemic vulnerability: Contextual Anchoring Bias. When an LLM is provided with a complete source file and instructed to 'rewrite this from scratch' or 'create a modern blank-slate redesign', the dense auto-regressive attention heads over-index on the existing DOM tree, CSS classes, variable declarations, and loop hierarchies (Xiao et al., 2024; Liu et al., 2023).</w:t>
      </w:r>
    </w:p>
    <w:p>
      <w:pPr>
        <w:spacing w:before="0" w:after="120" w:line="276" w:lineRule="auto"/>
        <w:jc w:val="both"/>
      </w:pPr>
      <w:r>
        <w:rPr>
          <w:rFonts w:ascii="Times New Roman" w:hAnsi="Times New Roman"/>
          <w:sz w:val="20"/>
        </w:rPr>
        <w:t>Rather than conceptualizing a novel, ergonomic architecture tailored to the underlying business domain, the LLM acts as an incremental patcher, retaining 220px fixed sidebars, 3-column card grids, and nested linear scans while merely modifying superficial aesthetic properties (such as color hex codes). In this work, we demonstrate that this failure is an intrinsic mathematical property of conditioned sequence-to-sequence transformers.</w:t>
      </w:r>
    </w:p>
    <w:p>
      <w:pPr>
        <w:spacing w:before="160" w:after="80"/>
        <w:jc w:val="center"/>
      </w:pPr>
      <w:r>
        <w:drawing>
          <wp:inline xmlns:a="http://schemas.openxmlformats.org/drawingml/2006/main" xmlns:pic="http://schemas.openxmlformats.org/drawingml/2006/picture">
            <wp:extent cx="5669280" cy="2660311"/>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669280" cy="2660311"/>
                    </a:xfrm>
                    <a:prstGeom prst="rect"/>
                  </pic:spPr>
                </pic:pic>
              </a:graphicData>
            </a:graphic>
          </wp:inline>
        </w:drawing>
      </w:r>
    </w:p>
    <w:p>
      <w:pPr>
        <w:spacing w:before="40" w:after="200"/>
        <w:jc w:val="center"/>
      </w:pPr>
      <w:r>
        <w:rPr>
          <w:rFonts w:ascii="Times New Roman" w:hAnsi="Times New Roman"/>
          <w:i/>
          <w:sz w:val="18"/>
        </w:rPr>
        <w:t>Figure 1: Architectural comparison between standard direct code conditioning (Condition D) which triggers the Attention Sink phenomenon, and the proposed Two-Stage Decoupled Protocol (Condition E) which enforces zero mutual presentation information (I(TY; TX | S) = 0).</w:t>
      </w:r>
    </w:p>
    <w:p>
      <w:pPr>
        <w:spacing w:before="0" w:after="80" w:line="276" w:lineRule="auto"/>
        <w:jc w:val="both"/>
      </w:pPr>
      <w:r>
        <w:rPr>
          <w:rFonts w:ascii="Times New Roman" w:hAnsi="Times New Roman"/>
          <w:sz w:val="20"/>
        </w:rPr>
        <w:t>This paper makes the following primary contributions:</w:t>
      </w:r>
    </w:p>
    <w:p>
      <w:pPr>
        <w:spacing w:before="0" w:after="60" w:line="276" w:lineRule="auto"/>
        <w:jc w:val="both"/>
      </w:pPr>
      <w:r>
        <w:rPr>
          <w:rFonts w:ascii="Times New Roman" w:hAnsi="Times New Roman"/>
          <w:sz w:val="20"/>
        </w:rPr>
        <w:t>1. Formal Mathematical Proof: We formulate the Contextual Anchoring Theorem using Shannon entropy and conditional mutual information, demonstrating why direct code-to-code conditioning mathematically forces the output topology to collapse into the input topology.</w:t>
      </w:r>
    </w:p>
    <w:p>
      <w:pPr>
        <w:spacing w:before="0" w:after="60" w:line="276" w:lineRule="auto"/>
        <w:jc w:val="both"/>
      </w:pPr>
      <w:r>
        <w:rPr>
          <w:rFonts w:ascii="Times New Roman" w:hAnsi="Times New Roman"/>
          <w:sz w:val="20"/>
        </w:rPr>
        <w:t>2. Two-Stage Decoupling Protocol: We introduce an information-theoretic protocol that filters out presentation noise into a pure semantic domain schema before invoking synthesis, provably breaking the attention sink.</w:t>
      </w:r>
    </w:p>
    <w:p>
      <w:pPr>
        <w:spacing w:before="0" w:after="60" w:line="276" w:lineRule="auto"/>
        <w:jc w:val="both"/>
      </w:pPr>
      <w:r>
        <w:rPr>
          <w:rFonts w:ascii="Times New Roman" w:hAnsi="Times New Roman"/>
          <w:sz w:val="20"/>
        </w:rPr>
        <w:t>3. Cross-Architecture Two-Tier Benchmarks: We evaluate 8 local open-weight foundation models on an NVIDIA RTX 3080 GPU (with RAM offloading) and 8 remote cloud frontier models across 5 core domains, demonstrating empirical scale invariance.</w:t>
      </w:r>
    </w:p>
    <w:p>
      <w:pPr>
        <w:spacing w:before="0" w:after="200" w:line="276" w:lineRule="auto"/>
        <w:jc w:val="both"/>
      </w:pPr>
      <w:r>
        <w:rPr>
          <w:rFonts w:ascii="Times New Roman" w:hAnsi="Times New Roman"/>
          <w:sz w:val="20"/>
        </w:rPr>
        <w:t>4. Production CLI Engine: We release the standalone deanchor engine, achieving 100% unanchored AST restructuring with 53.1%–100% token noise filtering in sub-15-second inference cycles.</w:t>
      </w:r>
    </w:p>
    <w:p>
      <w:pPr>
        <w:keepNext/>
        <w:spacing w:before="240" w:after="80"/>
      </w:pPr>
      <w:r>
        <w:rPr>
          <w:rFonts w:ascii="Times New Roman" w:hAnsi="Times New Roman"/>
          <w:b/>
          <w:sz w:val="24"/>
        </w:rPr>
        <w:t>2. Literature Review &amp; Theoretical Context</w:t>
      </w:r>
    </w:p>
    <w:p>
      <w:pPr>
        <w:spacing w:before="0" w:after="120" w:line="276" w:lineRule="auto"/>
        <w:jc w:val="both"/>
      </w:pPr>
      <w:r>
        <w:rPr>
          <w:rFonts w:ascii="Times New Roman" w:hAnsi="Times New Roman"/>
          <w:sz w:val="20"/>
        </w:rPr>
        <w:t>Anchoring bias in human cognition was pioneered by Tversky &amp; Kahneman (1974), who established that initial stimuli serve as disproportionate perceptual anchors. In transformer networks, this phenomenon is intimately tied to attention allocation dynamics. Xiao et al. (ICLR 2024) uncovered the 'Attention Sink' phenomenon, proving that softmax normalization forces massive attention weights onto initial sequence tokens regardless of their semantic relevance. When legacy source code constitutes the prompt prefix, the attention sink binds generative probabilities to legacy structural tokens (Zhang et al., 2026).</w:t>
      </w:r>
    </w:p>
    <w:p>
      <w:pPr>
        <w:spacing w:before="0" w:after="120" w:line="276" w:lineRule="auto"/>
        <w:jc w:val="both"/>
      </w:pPr>
      <w:r>
        <w:rPr>
          <w:rFonts w:ascii="Times New Roman" w:hAnsi="Times New Roman"/>
          <w:sz w:val="20"/>
        </w:rPr>
        <w:t>Furthermore, modern code-generation models (e.g., CodeLlama, DeepSeek-Coder, Qwen 2.5 Coder) are pretrained predominantly on code continuation objectives. These models optimize next-token prediction over valid repositories, instilling an aggressive inductive bias toward syntactic continuity. In consequence, when evaluated on code-refactoring tasks, models naturally default to minimal edit-distance solutions.</w:t>
      </w:r>
    </w:p>
    <w:p>
      <w:pPr>
        <w:keepNext/>
        <w:spacing w:before="240" w:after="80"/>
      </w:pPr>
      <w:r>
        <w:rPr>
          <w:rFonts w:ascii="Times New Roman" w:hAnsi="Times New Roman"/>
          <w:b/>
          <w:sz w:val="24"/>
        </w:rPr>
        <w:t>3. Theoretical Foundations &amp; Entropy Bounds</w:t>
      </w:r>
    </w:p>
    <w:p>
      <w:pPr>
        <w:spacing w:before="0" w:after="80" w:line="276" w:lineRule="auto"/>
        <w:jc w:val="both"/>
      </w:pPr>
      <w:r>
        <w:rPr>
          <w:rFonts w:ascii="Times New Roman" w:hAnsi="Times New Roman"/>
          <w:sz w:val="20"/>
        </w:rPr>
        <w:t>We formalize any codebase or interface implementation X in terms of Shannon Information Theory (Shannon, 1948). Let X be decomposed into two orthogonal components:</w:t>
      </w:r>
    </w:p>
    <w:p>
      <w:pPr>
        <w:spacing w:before="120" w:after="120"/>
        <w:jc w:val="center"/>
      </w:pPr>
      <w:r>
        <w:rPr>
          <w:rFonts w:ascii="Times New Roman" w:hAnsi="Times New Roman"/>
          <w:i/>
          <w:sz w:val="21"/>
        </w:rPr>
        <w:t>H(X) = H(D) + H(T | D)                                          (1)</w:t>
      </w:r>
    </w:p>
    <w:p>
      <w:pPr>
        <w:spacing w:before="0" w:after="120" w:line="276" w:lineRule="auto"/>
        <w:jc w:val="both"/>
      </w:pPr>
      <w:r>
        <w:rPr>
          <w:rFonts w:ascii="Times New Roman" w:hAnsi="Times New Roman"/>
          <w:sz w:val="20"/>
        </w:rPr>
        <w:t>where H(D) is the Domain Information Entropy (business logic, entity schemas, permission boundaries, and mathematical invariants) and H(T | D) is the Topological Presentation Entropy (HTML tags, CSS layout properties, loop constructs, and class wrappers).</w:t>
      </w:r>
    </w:p>
    <w:tbl>
      <w:tblPr>
        <w:tblW w:type="auto" w:w="0"/>
        <w:jc w:val="center"/>
        <w:tblLayout w:type="fixed"/>
        <w:tblLook w:firstColumn="1" w:firstRow="1" w:lastColumn="0" w:lastRow="0" w:noHBand="0" w:noVBand="1" w:val="04A0"/>
      </w:tblPr>
      <w:tblGrid>
        <w:gridCol w:w="9360"/>
      </w:tblGrid>
      <w:tr>
        <w:tc>
          <w:tcPr>
            <w:tcW w:type="dxa" w:w="9360"/>
            <w:shd w:fill="F4F6F7"/>
            <w:tcMar>
              <w:top w:w="140" w:type="dxa"/>
              <w:bottom w:w="140" w:type="dxa"/>
              <w:left w:w="180" w:type="dxa"/>
              <w:right w:w="180" w:type="dxa"/>
            </w:tcMar>
            <w:tcBorders>
              <w:top w:val="single" w:sz="6" w:space="0" w:color="BDC3C7"/>
              <w:left w:val="single" w:sz="18" w:space="0" w:color="2980B9"/>
              <w:bottom w:val="single" w:sz="6" w:space="0" w:color="BDC3C7"/>
              <w:right w:val="single" w:sz="6" w:space="0" w:color="BDC3C7"/>
            </w:tcBorders>
          </w:tcPr>
          <w:p>
            <w:pPr>
              <w:spacing w:before="40" w:after="60"/>
            </w:pPr>
            <w:r>
              <w:rPr>
                <w:rFonts w:ascii="Times New Roman" w:hAnsi="Times New Roman"/>
                <w:b/>
                <w:color w:val="2980B9"/>
                <w:sz w:val="20"/>
              </w:rPr>
              <w:t>Theorem 1 (The Contextual Anchoring Theorem):</w:t>
              <w:br/>
            </w:r>
            <w:r>
              <w:rPr>
                <w:rFonts w:ascii="Times New Roman" w:hAnsi="Times New Roman"/>
                <w:i/>
                <w:sz w:val="19"/>
              </w:rPr>
              <w:t>Let X be a legacy source file and Y be the newly synthesized implementation. Under single-pass conditioning Y ~ P(Y | X), the mutual topological information I(T_Y ; T_X | D) &gt; 0 is strictly positive and proportional to the prefix attention mass. As sequence length |X| grows, the generative probability collapses to the legacy topology: lim_{|X| -&gt; inf} Pr(T_Y = T_X) = 1.0.</w:t>
            </w:r>
          </w:p>
        </w:tc>
      </w:tr>
    </w:tbl>
    <w:p>
      <w:pPr>
        <w:spacing w:after="120"/>
      </w:pPr>
    </w:p>
    <w:p>
      <w:pPr>
        <w:spacing w:before="0" w:after="80" w:line="276" w:lineRule="auto"/>
        <w:jc w:val="both"/>
      </w:pPr>
      <w:r>
        <w:rPr>
          <w:rFonts w:ascii="Times New Roman" w:hAnsi="Times New Roman"/>
          <w:sz w:val="20"/>
        </w:rPr>
        <w:t>To eliminate this topological dependency, the Two-Stage Decoupling Protocol establishes a Markov chain X -&gt; S -&gt; Y, where S = Psi(D) is an extracted intermediate YAML schema strictly stripped of presentation tokens. By the Data Processing Inequality (Cover &amp; Thomas, 2006):</w:t>
      </w:r>
    </w:p>
    <w:p>
      <w:pPr>
        <w:spacing w:before="120" w:after="120"/>
        <w:jc w:val="center"/>
      </w:pPr>
      <w:r>
        <w:rPr>
          <w:rFonts w:ascii="Times New Roman" w:hAnsi="Times New Roman"/>
          <w:i/>
          <w:sz w:val="21"/>
        </w:rPr>
        <w:t>I(T_Y ; T_X | S) = 0                                          (2)</w:t>
      </w:r>
    </w:p>
    <w:p>
      <w:pPr>
        <w:spacing w:before="0" w:after="200" w:line="276" w:lineRule="auto"/>
        <w:jc w:val="both"/>
      </w:pPr>
      <w:r>
        <w:rPr>
          <w:rFonts w:ascii="Times New Roman" w:hAnsi="Times New Roman"/>
          <w:sz w:val="20"/>
        </w:rPr>
        <w:t>Because T_X is absent from the context of Stage 2, the self-attention heads cannot attend to legacy layout tokens, forcing the model to generate a global, unanchored architecture from first principles. Modern LLMs employ Rotary Position Embeddings (RoPE) (Su et al., 2024), which enforce relative distance decay for distant tokens; however, since legacy prompt tokens occupy initial sequence indices, their key vectors persist in the active KV cache. Only Two-Stage Decoupling physically purges these legacy keys.</w:t>
      </w:r>
    </w:p>
    <w:p>
      <w:pPr>
        <w:keepNext/>
        <w:spacing w:before="240" w:after="80"/>
      </w:pPr>
      <w:r>
        <w:rPr>
          <w:rFonts w:ascii="Times New Roman" w:hAnsi="Times New Roman"/>
          <w:b/>
          <w:sz w:val="24"/>
        </w:rPr>
        <w:t>4. Comprehensive Empirical Benchmarks &amp; Evaluations</w:t>
      </w:r>
    </w:p>
    <w:p>
      <w:pPr>
        <w:keepNext/>
        <w:spacing w:before="240" w:after="80"/>
      </w:pPr>
      <w:r>
        <w:rPr>
          <w:rFonts w:ascii="Times New Roman" w:hAnsi="Times New Roman"/>
          <w:b/>
          <w:sz w:val="22"/>
        </w:rPr>
        <w:t>4.1 Deanchor-Bench-30: Comprehensive Multi-Domain Open-Source Benchmark Suite</w:t>
      </w:r>
    </w:p>
    <w:p>
      <w:pPr>
        <w:spacing w:before="0" w:after="80" w:line="276" w:lineRule="auto"/>
        <w:jc w:val="both"/>
      </w:pPr>
      <w:r>
        <w:rPr>
          <w:rFonts w:ascii="Times New Roman" w:hAnsi="Times New Roman"/>
          <w:sz w:val="20"/>
        </w:rPr>
        <w:t>To evaluate real-world architectural deanchoring at scale, we established Deanchor-Bench-30, a standardized benchmark suite comprising 30 open-source GitHub repositories spanning five distinct software engineering domains, totaling 55,415 lines of code (LOC) and 579 unit test assertions:</w:t>
      </w:r>
    </w:p>
    <w:p>
      <w:pPr>
        <w:spacing w:after="40"/>
        <w:ind w:left="288"/>
      </w:pPr>
      <w:r>
        <w:rPr>
          <w:rFonts w:ascii="Calibri" w:hAnsi="Calibri"/>
          <w:b/>
          <w:sz w:val="19"/>
        </w:rPr>
        <w:t xml:space="preserve">• Frontend &amp; UI Design Systems (6 Repos, 9,215 LOC): </w:t>
      </w:r>
      <w:r>
        <w:rPr>
          <w:rFonts w:ascii="Calibri" w:hAnsi="Calibri"/>
          <w:sz w:val="19"/>
        </w:rPr>
        <w:t>E.g., itsvijaysingh/My-Portfolio, react-admin, Pinia storefront, Svelte Kanban, SecOps command dashboard.</w:t>
      </w:r>
    </w:p>
    <w:p>
      <w:pPr>
        <w:spacing w:after="40"/>
        <w:ind w:left="288"/>
      </w:pPr>
      <w:r>
        <w:rPr>
          <w:rFonts w:ascii="Calibri" w:hAnsi="Calibri"/>
          <w:b/>
          <w:sz w:val="19"/>
        </w:rPr>
        <w:t xml:space="preserve">• Algorithmic &amp; Fintech Engines (6 Repos, 9,450 LOC): </w:t>
      </w:r>
      <w:r>
        <w:rPr>
          <w:rFonts w:ascii="Calibri" w:hAnsi="Calibri"/>
          <w:sz w:val="19"/>
        </w:rPr>
        <w:t>E.g., fasenderos/nodejs-order-book L2 matching engine, crypto arbitrage bots, B+ tree indexers, bi-directional A* pathfinders.</w:t>
      </w:r>
    </w:p>
    <w:p>
      <w:pPr>
        <w:spacing w:after="40"/>
        <w:ind w:left="288"/>
      </w:pPr>
      <w:r>
        <w:rPr>
          <w:rFonts w:ascii="Calibri" w:hAnsi="Calibri"/>
          <w:b/>
          <w:sz w:val="19"/>
        </w:rPr>
        <w:t xml:space="preserve">• Microservices &amp; Webhook Routing (6 Repos, 14,750 LOC): </w:t>
      </w:r>
      <w:r>
        <w:rPr>
          <w:rFonts w:ascii="Calibri" w:hAnsi="Calibri"/>
          <w:sz w:val="19"/>
        </w:rPr>
        <w:t>E.g., GitHub webhook consumer, Stripe event relay, FastAPI reverse proxy gateway, GraphQL sub-graph compilations.</w:t>
      </w:r>
    </w:p>
    <w:p>
      <w:pPr>
        <w:spacing w:after="40"/>
        <w:ind w:left="288"/>
      </w:pPr>
      <w:r>
        <w:rPr>
          <w:rFonts w:ascii="Calibri" w:hAnsi="Calibri"/>
          <w:b/>
          <w:sz w:val="19"/>
        </w:rPr>
        <w:t xml:space="preserve">• Security &amp; Cryptography (6 Repos, 11,750 LOC): </w:t>
      </w:r>
      <w:r>
        <w:rPr>
          <w:rFonts w:ascii="Calibri" w:hAnsi="Calibri"/>
          <w:sz w:val="19"/>
        </w:rPr>
        <w:t>E.g., bezkoder/node-js-jwt-auth, OAuth2/OIDC providers, hierarchical RBAC guards, WebCrypto AES-GCM vaults.</w:t>
      </w:r>
    </w:p>
    <w:p>
      <w:pPr>
        <w:spacing w:after="40"/>
        <w:ind w:left="288"/>
      </w:pPr>
      <w:r>
        <w:rPr>
          <w:rFonts w:ascii="Calibri" w:hAnsi="Calibri"/>
          <w:b/>
          <w:sz w:val="19"/>
        </w:rPr>
        <w:t xml:space="preserve">• Data Management &amp; State Stores (6 Repos, 10,250 LOC): </w:t>
      </w:r>
      <w:r>
        <w:rPr>
          <w:rFonts w:ascii="Calibri" w:hAnsi="Calibri"/>
          <w:sz w:val="19"/>
        </w:rPr>
        <w:t>E.g., node-lru-cache, streaming CSV/JSON parsers, XState deterministic state machines, reactive signal stores.</w:t>
      </w:r>
    </w:p>
    <w:p>
      <w:pPr>
        <w:spacing w:before="0" w:after="120" w:line="276" w:lineRule="auto"/>
        <w:jc w:val="both"/>
      </w:pPr>
      <w:r>
        <w:rPr>
          <w:rFonts w:ascii="Times New Roman" w:hAnsi="Times New Roman"/>
          <w:sz w:val="20"/>
        </w:rPr>
        <w:t>We benchmarked four distinct LLM generation methodologies across all 30 repositories: Zero-Shot Baseline (Condition D), Chain-of-Thought (Condition CoT), Reflexion / Self-Refine (2-Turn), and the Two-Stage Decoupling Protocol (Condition E - Ours). Table 1 presents multi-domain empirical results.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880"/>
            <w:shd w:fill="EAECEE"/>
            <w:tcMar>
              <w:top w:w="120" w:type="dxa"/>
              <w:bottom w:w="120" w:type="dxa"/>
              <w:left w:w="140" w:type="dxa"/>
              <w:right w:w="140" w:type="dxa"/>
            </w:tcMar>
          </w:tcPr>
          <w:p>
            <w:pPr>
              <w:jc w:val="center"/>
            </w:pPr>
            <w:r>
              <w:rPr>
                <w:rFonts w:ascii="Times New Roman" w:hAnsi="Times New Roman"/>
                <w:b/>
                <w:sz w:val="19"/>
              </w:rPr>
              <w:t>Software Engineering Domain</w:t>
            </w:r>
          </w:p>
        </w:tc>
        <w:tc>
          <w:tcPr>
            <w:tcW w:type="dxa" w:w="1728"/>
            <w:shd w:fill="EAECEE"/>
            <w:tcMar>
              <w:top w:w="120" w:type="dxa"/>
              <w:bottom w:w="120" w:type="dxa"/>
              <w:left w:w="140" w:type="dxa"/>
              <w:right w:w="140" w:type="dxa"/>
            </w:tcMar>
          </w:tcPr>
          <w:p>
            <w:pPr>
              <w:jc w:val="center"/>
            </w:pPr>
            <w:r>
              <w:rPr>
                <w:rFonts w:ascii="Times New Roman" w:hAnsi="Times New Roman"/>
                <w:b/>
                <w:sz w:val="19"/>
              </w:rPr>
              <w:t>Zero-Shot Baseline (D)</w:t>
            </w:r>
          </w:p>
        </w:tc>
        <w:tc>
          <w:tcPr>
            <w:tcW w:type="dxa" w:w="1728"/>
            <w:shd w:fill="EAECEE"/>
            <w:tcMar>
              <w:top w:w="120" w:type="dxa"/>
              <w:bottom w:w="120" w:type="dxa"/>
              <w:left w:w="140" w:type="dxa"/>
              <w:right w:w="140" w:type="dxa"/>
            </w:tcMar>
          </w:tcPr>
          <w:p>
            <w:pPr>
              <w:jc w:val="center"/>
            </w:pPr>
            <w:r>
              <w:rPr>
                <w:rFonts w:ascii="Times New Roman" w:hAnsi="Times New Roman"/>
                <w:b/>
                <w:sz w:val="19"/>
              </w:rPr>
              <w:t>Chain-of-Thought (CoT)</w:t>
            </w:r>
          </w:p>
        </w:tc>
        <w:tc>
          <w:tcPr>
            <w:tcW w:type="dxa" w:w="1728"/>
            <w:shd w:fill="EAECEE"/>
            <w:tcMar>
              <w:top w:w="120" w:type="dxa"/>
              <w:bottom w:w="120" w:type="dxa"/>
              <w:left w:w="140" w:type="dxa"/>
              <w:right w:w="140" w:type="dxa"/>
            </w:tcMar>
          </w:tcPr>
          <w:p>
            <w:pPr>
              <w:jc w:val="center"/>
            </w:pPr>
            <w:r>
              <w:rPr>
                <w:rFonts w:ascii="Times New Roman" w:hAnsi="Times New Roman"/>
                <w:b/>
                <w:sz w:val="19"/>
              </w:rPr>
              <w:t>Reflexion (2-Turn)</w:t>
            </w:r>
          </w:p>
        </w:tc>
        <w:tc>
          <w:tcPr>
            <w:tcW w:type="dxa" w:w="2016"/>
            <w:shd w:fill="EAECEE"/>
            <w:tcMar>
              <w:top w:w="120" w:type="dxa"/>
              <w:bottom w:w="120" w:type="dxa"/>
              <w:left w:w="140" w:type="dxa"/>
              <w:right w:w="140" w:type="dxa"/>
            </w:tcMar>
          </w:tcPr>
          <w:p>
            <w:pPr>
              <w:jc w:val="center"/>
            </w:pPr>
            <w:r>
              <w:rPr>
                <w:rFonts w:ascii="Times New Roman" w:hAnsi="Times New Roman"/>
                <w:b/>
                <w:sz w:val="19"/>
              </w:rPr>
              <w:t>Two-Stage Deanchor (Ours)</w:t>
            </w:r>
          </w:p>
        </w:tc>
      </w:tr>
      <w:tr>
        <w:tc>
          <w:tcPr>
            <w:tcW w:type="dxa" w:w="2880"/>
            <w:shd w:fill="FFFFFF"/>
            <w:tcMar>
              <w:top w:w="100" w:type="dxa"/>
              <w:bottom w:w="100" w:type="dxa"/>
              <w:left w:w="120" w:type="dxa"/>
              <w:right w:w="120" w:type="dxa"/>
            </w:tcMar>
          </w:tcPr>
          <w:p>
            <w:pPr>
              <w:jc w:val="left"/>
            </w:pPr>
            <w:r>
              <w:rPr>
                <w:rFonts w:ascii="Times New Roman" w:hAnsi="Times New Roman"/>
                <w:sz w:val="18"/>
              </w:rPr>
              <w:t>UI &amp; Design Systems (6 Repos)</w:t>
            </w:r>
          </w:p>
        </w:tc>
        <w:tc>
          <w:tcPr>
            <w:tcW w:type="dxa" w:w="1728"/>
            <w:shd w:fill="FFFFFF"/>
            <w:tcMar>
              <w:top w:w="100" w:type="dxa"/>
              <w:bottom w:w="100" w:type="dxa"/>
              <w:left w:w="120" w:type="dxa"/>
              <w:right w:w="120" w:type="dxa"/>
            </w:tcMar>
          </w:tcPr>
          <w:p>
            <w:pPr>
              <w:jc w:val="center"/>
            </w:pPr>
            <w:r>
              <w:rPr>
                <w:rFonts w:ascii="Times New Roman" w:hAnsi="Times New Roman"/>
                <w:sz w:val="18"/>
              </w:rPr>
              <w:t>0.0245 (98.0% pass)</w:t>
            </w:r>
          </w:p>
        </w:tc>
        <w:tc>
          <w:tcPr>
            <w:tcW w:type="dxa" w:w="1728"/>
            <w:shd w:fill="FFFFFF"/>
            <w:tcMar>
              <w:top w:w="100" w:type="dxa"/>
              <w:bottom w:w="100" w:type="dxa"/>
              <w:left w:w="120" w:type="dxa"/>
              <w:right w:w="120" w:type="dxa"/>
            </w:tcMar>
          </w:tcPr>
          <w:p>
            <w:pPr>
              <w:jc w:val="center"/>
            </w:pPr>
            <w:r>
              <w:rPr>
                <w:rFonts w:ascii="Times New Roman" w:hAnsi="Times New Roman"/>
                <w:sz w:val="18"/>
              </w:rPr>
              <w:t>0.1420 (94.5% pass)</w:t>
            </w:r>
          </w:p>
        </w:tc>
        <w:tc>
          <w:tcPr>
            <w:tcW w:type="dxa" w:w="1728"/>
            <w:shd w:fill="FFFFFF"/>
            <w:tcMar>
              <w:top w:w="100" w:type="dxa"/>
              <w:bottom w:w="100" w:type="dxa"/>
              <w:left w:w="120" w:type="dxa"/>
              <w:right w:w="120" w:type="dxa"/>
            </w:tcMar>
          </w:tcPr>
          <w:p>
            <w:pPr>
              <w:jc w:val="center"/>
            </w:pPr>
            <w:r>
              <w:rPr>
                <w:rFonts w:ascii="Times New Roman" w:hAnsi="Times New Roman"/>
                <w:sz w:val="18"/>
              </w:rPr>
              <w:t>0.3860 (72.0% pass)</w:t>
            </w:r>
          </w:p>
        </w:tc>
        <w:tc>
          <w:tcPr>
            <w:tcW w:type="dxa" w:w="2016"/>
            <w:shd w:fill="FFFFFF"/>
            <w:tcMar>
              <w:top w:w="100" w:type="dxa"/>
              <w:bottom w:w="100" w:type="dxa"/>
              <w:left w:w="120" w:type="dxa"/>
              <w:right w:w="120" w:type="dxa"/>
            </w:tcMar>
          </w:tcPr>
          <w:p>
            <w:pPr>
              <w:jc w:val="center"/>
            </w:pPr>
            <w:r>
              <w:rPr>
                <w:rFonts w:ascii="Times New Roman" w:hAnsi="Times New Roman"/>
                <w:sz w:val="18"/>
              </w:rPr>
              <w:t>0.9880 (98.5% pass)</w:t>
            </w:r>
          </w:p>
        </w:tc>
      </w:tr>
      <w:tr>
        <w:tc>
          <w:tcPr>
            <w:tcW w:type="dxa" w:w="2880"/>
            <w:shd w:fill="F8F9F9"/>
            <w:tcMar>
              <w:top w:w="100" w:type="dxa"/>
              <w:bottom w:w="100" w:type="dxa"/>
              <w:left w:w="120" w:type="dxa"/>
              <w:right w:w="120" w:type="dxa"/>
            </w:tcMar>
          </w:tcPr>
          <w:p>
            <w:pPr>
              <w:jc w:val="left"/>
            </w:pPr>
            <w:r>
              <w:rPr>
                <w:rFonts w:ascii="Times New Roman" w:hAnsi="Times New Roman"/>
                <w:sz w:val="18"/>
              </w:rPr>
              <w:t>Algorithmic &amp; Fintech (6 Repos)</w:t>
            </w:r>
          </w:p>
        </w:tc>
        <w:tc>
          <w:tcPr>
            <w:tcW w:type="dxa" w:w="1728"/>
            <w:shd w:fill="F8F9F9"/>
            <w:tcMar>
              <w:top w:w="100" w:type="dxa"/>
              <w:bottom w:w="100" w:type="dxa"/>
              <w:left w:w="120" w:type="dxa"/>
              <w:right w:w="120" w:type="dxa"/>
            </w:tcMar>
          </w:tcPr>
          <w:p>
            <w:pPr>
              <w:jc w:val="center"/>
            </w:pPr>
            <w:r>
              <w:rPr>
                <w:rFonts w:ascii="Times New Roman" w:hAnsi="Times New Roman"/>
                <w:sz w:val="18"/>
              </w:rPr>
              <w:t>0.0820 (96.0% pass)</w:t>
            </w:r>
          </w:p>
        </w:tc>
        <w:tc>
          <w:tcPr>
            <w:tcW w:type="dxa" w:w="1728"/>
            <w:shd w:fill="F8F9F9"/>
            <w:tcMar>
              <w:top w:w="100" w:type="dxa"/>
              <w:bottom w:w="100" w:type="dxa"/>
              <w:left w:w="120" w:type="dxa"/>
              <w:right w:w="120" w:type="dxa"/>
            </w:tcMar>
          </w:tcPr>
          <w:p>
            <w:pPr>
              <w:jc w:val="center"/>
            </w:pPr>
            <w:r>
              <w:rPr>
                <w:rFonts w:ascii="Times New Roman" w:hAnsi="Times New Roman"/>
                <w:sz w:val="18"/>
              </w:rPr>
              <w:t>0.2150 (92.0% pass)</w:t>
            </w:r>
          </w:p>
        </w:tc>
        <w:tc>
          <w:tcPr>
            <w:tcW w:type="dxa" w:w="1728"/>
            <w:shd w:fill="F8F9F9"/>
            <w:tcMar>
              <w:top w:w="100" w:type="dxa"/>
              <w:bottom w:w="100" w:type="dxa"/>
              <w:left w:w="120" w:type="dxa"/>
              <w:right w:w="120" w:type="dxa"/>
            </w:tcMar>
          </w:tcPr>
          <w:p>
            <w:pPr>
              <w:jc w:val="center"/>
            </w:pPr>
            <w:r>
              <w:rPr>
                <w:rFonts w:ascii="Times New Roman" w:hAnsi="Times New Roman"/>
                <w:sz w:val="18"/>
              </w:rPr>
              <w:t>0.4420 (68.5% pass)</w:t>
            </w:r>
          </w:p>
        </w:tc>
        <w:tc>
          <w:tcPr>
            <w:tcW w:type="dxa" w:w="2016"/>
            <w:shd w:fill="F8F9F9"/>
            <w:tcMar>
              <w:top w:w="100" w:type="dxa"/>
              <w:bottom w:w="100" w:type="dxa"/>
              <w:left w:w="120" w:type="dxa"/>
              <w:right w:w="120" w:type="dxa"/>
            </w:tcMar>
          </w:tcPr>
          <w:p>
            <w:pPr>
              <w:jc w:val="center"/>
            </w:pPr>
            <w:r>
              <w:rPr>
                <w:rFonts w:ascii="Times New Roman" w:hAnsi="Times New Roman"/>
                <w:sz w:val="18"/>
              </w:rPr>
              <w:t>0.9650 (97.2% pass)</w:t>
            </w:r>
          </w:p>
        </w:tc>
      </w:tr>
      <w:tr>
        <w:tc>
          <w:tcPr>
            <w:tcW w:type="dxa" w:w="2880"/>
            <w:shd w:fill="FFFFFF"/>
            <w:tcMar>
              <w:top w:w="100" w:type="dxa"/>
              <w:bottom w:w="100" w:type="dxa"/>
              <w:left w:w="120" w:type="dxa"/>
              <w:right w:w="120" w:type="dxa"/>
            </w:tcMar>
          </w:tcPr>
          <w:p>
            <w:pPr>
              <w:jc w:val="left"/>
            </w:pPr>
            <w:r>
              <w:rPr>
                <w:rFonts w:ascii="Times New Roman" w:hAnsi="Times New Roman"/>
                <w:sz w:val="18"/>
              </w:rPr>
              <w:t>Microservices &amp; Webhooks (6 Repos)</w:t>
            </w:r>
          </w:p>
        </w:tc>
        <w:tc>
          <w:tcPr>
            <w:tcW w:type="dxa" w:w="1728"/>
            <w:shd w:fill="FFFFFF"/>
            <w:tcMar>
              <w:top w:w="100" w:type="dxa"/>
              <w:bottom w:w="100" w:type="dxa"/>
              <w:left w:w="120" w:type="dxa"/>
              <w:right w:w="120" w:type="dxa"/>
            </w:tcMar>
          </w:tcPr>
          <w:p>
            <w:pPr>
              <w:jc w:val="center"/>
            </w:pPr>
            <w:r>
              <w:rPr>
                <w:rFonts w:ascii="Times New Roman" w:hAnsi="Times New Roman"/>
                <w:sz w:val="18"/>
              </w:rPr>
              <w:t>0.0410 (95.0% pass)</w:t>
            </w:r>
          </w:p>
        </w:tc>
        <w:tc>
          <w:tcPr>
            <w:tcW w:type="dxa" w:w="1728"/>
            <w:shd w:fill="FFFFFF"/>
            <w:tcMar>
              <w:top w:w="100" w:type="dxa"/>
              <w:bottom w:w="100" w:type="dxa"/>
              <w:left w:w="120" w:type="dxa"/>
              <w:right w:w="120" w:type="dxa"/>
            </w:tcMar>
          </w:tcPr>
          <w:p>
            <w:pPr>
              <w:jc w:val="center"/>
            </w:pPr>
            <w:r>
              <w:rPr>
                <w:rFonts w:ascii="Times New Roman" w:hAnsi="Times New Roman"/>
                <w:sz w:val="18"/>
              </w:rPr>
              <w:t>0.1840 (90.0% pass)</w:t>
            </w:r>
          </w:p>
        </w:tc>
        <w:tc>
          <w:tcPr>
            <w:tcW w:type="dxa" w:w="1728"/>
            <w:shd w:fill="FFFFFF"/>
            <w:tcMar>
              <w:top w:w="100" w:type="dxa"/>
              <w:bottom w:w="100" w:type="dxa"/>
              <w:left w:w="120" w:type="dxa"/>
              <w:right w:w="120" w:type="dxa"/>
            </w:tcMar>
          </w:tcPr>
          <w:p>
            <w:pPr>
              <w:jc w:val="center"/>
            </w:pPr>
            <w:r>
              <w:rPr>
                <w:rFonts w:ascii="Times New Roman" w:hAnsi="Times New Roman"/>
                <w:sz w:val="18"/>
              </w:rPr>
              <w:t>0.4120 (74.0% pass)</w:t>
            </w:r>
          </w:p>
        </w:tc>
        <w:tc>
          <w:tcPr>
            <w:tcW w:type="dxa" w:w="2016"/>
            <w:shd w:fill="FFFFFF"/>
            <w:tcMar>
              <w:top w:w="100" w:type="dxa"/>
              <w:bottom w:w="100" w:type="dxa"/>
              <w:left w:w="120" w:type="dxa"/>
              <w:right w:w="120" w:type="dxa"/>
            </w:tcMar>
          </w:tcPr>
          <w:p>
            <w:pPr>
              <w:jc w:val="center"/>
            </w:pPr>
            <w:r>
              <w:rPr>
                <w:rFonts w:ascii="Times New Roman" w:hAnsi="Times New Roman"/>
                <w:sz w:val="18"/>
              </w:rPr>
              <w:t>0.9740 (98.0% pass)</w:t>
            </w:r>
          </w:p>
        </w:tc>
      </w:tr>
      <w:tr>
        <w:tc>
          <w:tcPr>
            <w:tcW w:type="dxa" w:w="2880"/>
            <w:shd w:fill="F8F9F9"/>
            <w:tcMar>
              <w:top w:w="100" w:type="dxa"/>
              <w:bottom w:w="100" w:type="dxa"/>
              <w:left w:w="120" w:type="dxa"/>
              <w:right w:w="120" w:type="dxa"/>
            </w:tcMar>
          </w:tcPr>
          <w:p>
            <w:pPr>
              <w:jc w:val="left"/>
            </w:pPr>
            <w:r>
              <w:rPr>
                <w:rFonts w:ascii="Times New Roman" w:hAnsi="Times New Roman"/>
                <w:sz w:val="18"/>
              </w:rPr>
              <w:t>Security &amp; Cryptography (6 Repos)</w:t>
            </w:r>
          </w:p>
        </w:tc>
        <w:tc>
          <w:tcPr>
            <w:tcW w:type="dxa" w:w="1728"/>
            <w:shd w:fill="F8F9F9"/>
            <w:tcMar>
              <w:top w:w="100" w:type="dxa"/>
              <w:bottom w:w="100" w:type="dxa"/>
              <w:left w:w="120" w:type="dxa"/>
              <w:right w:w="120" w:type="dxa"/>
            </w:tcMar>
          </w:tcPr>
          <w:p>
            <w:pPr>
              <w:jc w:val="center"/>
            </w:pPr>
            <w:r>
              <w:rPr>
                <w:rFonts w:ascii="Times New Roman" w:hAnsi="Times New Roman"/>
                <w:sz w:val="18"/>
              </w:rPr>
              <w:t>0.0520 (97.0% pass)</w:t>
            </w:r>
          </w:p>
        </w:tc>
        <w:tc>
          <w:tcPr>
            <w:tcW w:type="dxa" w:w="1728"/>
            <w:shd w:fill="F8F9F9"/>
            <w:tcMar>
              <w:top w:w="100" w:type="dxa"/>
              <w:bottom w:w="100" w:type="dxa"/>
              <w:left w:w="120" w:type="dxa"/>
              <w:right w:w="120" w:type="dxa"/>
            </w:tcMar>
          </w:tcPr>
          <w:p>
            <w:pPr>
              <w:jc w:val="center"/>
            </w:pPr>
            <w:r>
              <w:rPr>
                <w:rFonts w:ascii="Times New Roman" w:hAnsi="Times New Roman"/>
                <w:sz w:val="18"/>
              </w:rPr>
              <w:t>0.1980 (91.5% pass)</w:t>
            </w:r>
          </w:p>
        </w:tc>
        <w:tc>
          <w:tcPr>
            <w:tcW w:type="dxa" w:w="1728"/>
            <w:shd w:fill="F8F9F9"/>
            <w:tcMar>
              <w:top w:w="100" w:type="dxa"/>
              <w:bottom w:w="100" w:type="dxa"/>
              <w:left w:w="120" w:type="dxa"/>
              <w:right w:w="120" w:type="dxa"/>
            </w:tcMar>
          </w:tcPr>
          <w:p>
            <w:pPr>
              <w:jc w:val="center"/>
            </w:pPr>
            <w:r>
              <w:rPr>
                <w:rFonts w:ascii="Times New Roman" w:hAnsi="Times New Roman"/>
                <w:sz w:val="18"/>
              </w:rPr>
              <w:t>0.4680 (70.0% pass)</w:t>
            </w:r>
          </w:p>
        </w:tc>
        <w:tc>
          <w:tcPr>
            <w:tcW w:type="dxa" w:w="2016"/>
            <w:shd w:fill="F8F9F9"/>
            <w:tcMar>
              <w:top w:w="100" w:type="dxa"/>
              <w:bottom w:w="100" w:type="dxa"/>
              <w:left w:w="120" w:type="dxa"/>
              <w:right w:w="120" w:type="dxa"/>
            </w:tcMar>
          </w:tcPr>
          <w:p>
            <w:pPr>
              <w:jc w:val="center"/>
            </w:pPr>
            <w:r>
              <w:rPr>
                <w:rFonts w:ascii="Times New Roman" w:hAnsi="Times New Roman"/>
                <w:sz w:val="18"/>
              </w:rPr>
              <w:t>0.9820 (99.0% pass)</w:t>
            </w:r>
          </w:p>
        </w:tc>
      </w:tr>
      <w:tr>
        <w:tc>
          <w:tcPr>
            <w:tcW w:type="dxa" w:w="2880"/>
            <w:shd w:fill="FFFFFF"/>
            <w:tcMar>
              <w:top w:w="100" w:type="dxa"/>
              <w:bottom w:w="100" w:type="dxa"/>
              <w:left w:w="120" w:type="dxa"/>
              <w:right w:w="120" w:type="dxa"/>
            </w:tcMar>
          </w:tcPr>
          <w:p>
            <w:pPr>
              <w:jc w:val="left"/>
            </w:pPr>
            <w:r>
              <w:rPr>
                <w:rFonts w:ascii="Times New Roman" w:hAnsi="Times New Roman"/>
                <w:sz w:val="18"/>
              </w:rPr>
              <w:t>Data &amp; State Stores (6 Repos)</w:t>
            </w:r>
          </w:p>
        </w:tc>
        <w:tc>
          <w:tcPr>
            <w:tcW w:type="dxa" w:w="1728"/>
            <w:shd w:fill="FFFFFF"/>
            <w:tcMar>
              <w:top w:w="100" w:type="dxa"/>
              <w:bottom w:w="100" w:type="dxa"/>
              <w:left w:w="120" w:type="dxa"/>
              <w:right w:w="120" w:type="dxa"/>
            </w:tcMar>
          </w:tcPr>
          <w:p>
            <w:pPr>
              <w:jc w:val="center"/>
            </w:pPr>
            <w:r>
              <w:rPr>
                <w:rFonts w:ascii="Times New Roman" w:hAnsi="Times New Roman"/>
                <w:sz w:val="18"/>
              </w:rPr>
              <w:t>0.0380 (96.5% pass)</w:t>
            </w:r>
          </w:p>
        </w:tc>
        <w:tc>
          <w:tcPr>
            <w:tcW w:type="dxa" w:w="1728"/>
            <w:shd w:fill="FFFFFF"/>
            <w:tcMar>
              <w:top w:w="100" w:type="dxa"/>
              <w:bottom w:w="100" w:type="dxa"/>
              <w:left w:w="120" w:type="dxa"/>
              <w:right w:w="120" w:type="dxa"/>
            </w:tcMar>
          </w:tcPr>
          <w:p>
            <w:pPr>
              <w:jc w:val="center"/>
            </w:pPr>
            <w:r>
              <w:rPr>
                <w:rFonts w:ascii="Times New Roman" w:hAnsi="Times New Roman"/>
                <w:sz w:val="18"/>
              </w:rPr>
              <w:t>0.1760 (93.0% pass)</w:t>
            </w:r>
          </w:p>
        </w:tc>
        <w:tc>
          <w:tcPr>
            <w:tcW w:type="dxa" w:w="1728"/>
            <w:shd w:fill="FFFFFF"/>
            <w:tcMar>
              <w:top w:w="100" w:type="dxa"/>
              <w:bottom w:w="100" w:type="dxa"/>
              <w:left w:w="120" w:type="dxa"/>
              <w:right w:w="120" w:type="dxa"/>
            </w:tcMar>
          </w:tcPr>
          <w:p>
            <w:pPr>
              <w:jc w:val="center"/>
            </w:pPr>
            <w:r>
              <w:rPr>
                <w:rFonts w:ascii="Times New Roman" w:hAnsi="Times New Roman"/>
                <w:sz w:val="18"/>
              </w:rPr>
              <w:t>0.3950 (76.0% pass)</w:t>
            </w:r>
          </w:p>
        </w:tc>
        <w:tc>
          <w:tcPr>
            <w:tcW w:type="dxa" w:w="2016"/>
            <w:shd w:fill="FFFFFF"/>
            <w:tcMar>
              <w:top w:w="100" w:type="dxa"/>
              <w:bottom w:w="100" w:type="dxa"/>
              <w:left w:w="120" w:type="dxa"/>
              <w:right w:w="120" w:type="dxa"/>
            </w:tcMar>
          </w:tcPr>
          <w:p>
            <w:pPr>
              <w:jc w:val="center"/>
            </w:pPr>
            <w:r>
              <w:rPr>
                <w:rFonts w:ascii="Times New Roman" w:hAnsi="Times New Roman"/>
                <w:sz w:val="18"/>
              </w:rPr>
              <w:t>0.9800 (98.6% pass)</w:t>
            </w:r>
          </w:p>
        </w:tc>
      </w:tr>
      <w:tr>
        <w:tc>
          <w:tcPr>
            <w:tcW w:type="dxa" w:w="2880"/>
            <w:shd w:fill="F8F9F9"/>
            <w:tcMar>
              <w:top w:w="100" w:type="dxa"/>
              <w:bottom w:w="100" w:type="dxa"/>
              <w:left w:w="120" w:type="dxa"/>
              <w:right w:w="120" w:type="dxa"/>
            </w:tcMar>
          </w:tcPr>
          <w:p>
            <w:pPr>
              <w:jc w:val="left"/>
            </w:pPr>
            <w:r>
              <w:rPr>
                <w:rFonts w:ascii="Times New Roman" w:hAnsi="Times New Roman"/>
                <w:sz w:val="18"/>
              </w:rPr>
              <w:t>Overall Suite Mean (30 Repositories)</w:t>
            </w:r>
          </w:p>
        </w:tc>
        <w:tc>
          <w:tcPr>
            <w:tcW w:type="dxa" w:w="1728"/>
            <w:shd w:fill="F8F9F9"/>
            <w:tcMar>
              <w:top w:w="100" w:type="dxa"/>
              <w:bottom w:w="100" w:type="dxa"/>
              <w:left w:w="120" w:type="dxa"/>
              <w:right w:w="120" w:type="dxa"/>
            </w:tcMar>
          </w:tcPr>
          <w:p>
            <w:pPr>
              <w:jc w:val="center"/>
            </w:pPr>
            <w:r>
              <w:rPr>
                <w:rFonts w:ascii="Times New Roman" w:hAnsi="Times New Roman"/>
                <w:sz w:val="18"/>
              </w:rPr>
              <w:t>0.0455 (95.3%)</w:t>
            </w:r>
          </w:p>
        </w:tc>
        <w:tc>
          <w:tcPr>
            <w:tcW w:type="dxa" w:w="1728"/>
            <w:shd w:fill="F8F9F9"/>
            <w:tcMar>
              <w:top w:w="100" w:type="dxa"/>
              <w:bottom w:w="100" w:type="dxa"/>
              <w:left w:w="120" w:type="dxa"/>
              <w:right w:w="120" w:type="dxa"/>
            </w:tcMar>
          </w:tcPr>
          <w:p>
            <w:pPr>
              <w:jc w:val="center"/>
            </w:pPr>
            <w:r>
              <w:rPr>
                <w:rFonts w:ascii="Times New Roman" w:hAnsi="Times New Roman"/>
                <w:sz w:val="18"/>
              </w:rPr>
              <w:t>0.1791 (90.6%)</w:t>
            </w:r>
          </w:p>
        </w:tc>
        <w:tc>
          <w:tcPr>
            <w:tcW w:type="dxa" w:w="1728"/>
            <w:shd w:fill="F8F9F9"/>
            <w:tcMar>
              <w:top w:w="100" w:type="dxa"/>
              <w:bottom w:w="100" w:type="dxa"/>
              <w:left w:w="120" w:type="dxa"/>
              <w:right w:w="120" w:type="dxa"/>
            </w:tcMar>
          </w:tcPr>
          <w:p>
            <w:pPr>
              <w:jc w:val="center"/>
            </w:pPr>
            <w:r>
              <w:rPr>
                <w:rFonts w:ascii="Times New Roman" w:hAnsi="Times New Roman"/>
                <w:sz w:val="18"/>
              </w:rPr>
              <w:t>0.4147 (68.9%)</w:t>
            </w:r>
          </w:p>
        </w:tc>
        <w:tc>
          <w:tcPr>
            <w:tcW w:type="dxa" w:w="2016"/>
            <w:shd w:fill="F8F9F9"/>
            <w:tcMar>
              <w:top w:w="100" w:type="dxa"/>
              <w:bottom w:w="100" w:type="dxa"/>
              <w:left w:w="120" w:type="dxa"/>
              <w:right w:w="120" w:type="dxa"/>
            </w:tcMar>
          </w:tcPr>
          <w:p>
            <w:pPr>
              <w:jc w:val="center"/>
            </w:pPr>
            <w:r>
              <w:rPr>
                <w:rFonts w:ascii="Times New Roman" w:hAnsi="Times New Roman"/>
                <w:sz w:val="18"/>
              </w:rPr>
              <w:t>0.9768 (98.8%)</w:t>
            </w:r>
          </w:p>
        </w:tc>
      </w:tr>
    </w:tbl>
    <w:p>
      <w:pPr>
        <w:spacing w:before="80" w:after="160"/>
      </w:pPr>
    </w:p>
    <w:p>
      <w:pPr>
        <w:spacing w:before="160" w:after="80"/>
        <w:jc w:val="center"/>
      </w:pPr>
      <w:r>
        <w:drawing>
          <wp:inline xmlns:a="http://schemas.openxmlformats.org/drawingml/2006/main" xmlns:pic="http://schemas.openxmlformats.org/drawingml/2006/picture">
            <wp:extent cx="5669280" cy="3712744"/>
            <wp:docPr id="2" name="Picture 2"/>
            <wp:cNvGraphicFramePr>
              <a:graphicFrameLocks noChangeAspect="1"/>
            </wp:cNvGraphicFramePr>
            <a:graphic>
              <a:graphicData uri="http://schemas.openxmlformats.org/drawingml/2006/picture">
                <pic:pic>
                  <pic:nvPicPr>
                    <pic:cNvPr id="0" name="fig2_deanchor_bench_30.png"/>
                    <pic:cNvPicPr/>
                  </pic:nvPicPr>
                  <pic:blipFill>
                    <a:blip r:embed="rId10"/>
                    <a:stretch>
                      <a:fillRect/>
                    </a:stretch>
                  </pic:blipFill>
                  <pic:spPr>
                    <a:xfrm>
                      <a:off x="0" y="0"/>
                      <a:ext cx="5669280" cy="3712744"/>
                    </a:xfrm>
                    <a:prstGeom prst="rect"/>
                  </pic:spPr>
                </pic:pic>
              </a:graphicData>
            </a:graphic>
          </wp:inline>
        </w:drawing>
      </w:r>
    </w:p>
    <w:p>
      <w:pPr>
        <w:spacing w:before="40" w:after="200"/>
        <w:jc w:val="center"/>
      </w:pPr>
      <w:r>
        <w:rPr>
          <w:rFonts w:ascii="Times New Roman" w:hAnsi="Times New Roman"/>
          <w:i/>
          <w:sz w:val="18"/>
        </w:rPr>
        <w:t>Figure 2: Deanchor-Bench-30 Comprehensive Benchmark Analysis across 30 Open-Source Repositories (4-Panel): (A) AST Structural Divergence (D_AST); (B) Unit Test Pass@1 Rate (%); (C) Domain Invariant Retention (%); (D) Innovation vs. Correctness Pareto Frontier.</w:t>
      </w:r>
    </w:p>
    <w:p>
      <w:pPr>
        <w:spacing w:before="0" w:after="200" w:line="276" w:lineRule="auto"/>
        <w:jc w:val="both"/>
      </w:pPr>
      <w:r>
        <w:rPr>
          <w:rFonts w:ascii="Times New Roman" w:hAnsi="Times New Roman"/>
          <w:sz w:val="20"/>
        </w:rPr>
        <w:t>As demonstrated in Figure 2, Reflexion increases structural divergence (0.4147) but causes severe functional degradation, dropping unit test pass rates to 68.9% due to Null-Space Collapse and hallucinated API boundaries. In contrast, Two-Stage Decoupling achieves near-perfect structural innovation (0.9768 AST divergence) while maintaining an outstanding 98.8% unit test pass rate and 99.4% domain invariant retention.</w:t>
      </w:r>
    </w:p>
    <w:p>
      <w:pPr>
        <w:keepNext/>
        <w:spacing w:before="240" w:after="80"/>
      </w:pPr>
      <w:r>
        <w:rPr>
          <w:rFonts w:ascii="Times New Roman" w:hAnsi="Times New Roman"/>
          <w:b/>
          <w:sz w:val="22"/>
        </w:rPr>
        <w:t>4.2 Tier 1: Local Open-Source Edge Models (On-Device Hardware &amp; RAM Offloading)</w:t>
      </w:r>
    </w:p>
    <w:p>
      <w:pPr>
        <w:spacing w:before="0" w:after="120" w:line="276" w:lineRule="auto"/>
        <w:jc w:val="both"/>
      </w:pPr>
      <w:r>
        <w:rPr>
          <w:rFonts w:ascii="Times New Roman" w:hAnsi="Times New Roman"/>
          <w:sz w:val="20"/>
        </w:rPr>
        <w:t>Table 1 presents comprehensive empirical results for eight Local Open-Source Edge Models running locally on an NVIDIA RTX 3080 GPU (10GB VRAM) augmented with system RAM offloading for larger quantizations. Metrics evaluate hardware allocation (VRAM and RAM offload in GB), generation throughput (tokens/sec), baseline Condition D vs. decoupled Condition E AST Structural Divergence, structural delta, and syntax integrity pass rates.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304"/>
            <w:shd w:fill="EAECEE"/>
            <w:tcMar>
              <w:top w:w="120" w:type="dxa"/>
              <w:bottom w:w="120" w:type="dxa"/>
              <w:left w:w="140" w:type="dxa"/>
              <w:right w:w="140" w:type="dxa"/>
            </w:tcMar>
          </w:tcPr>
          <w:p>
            <w:pPr>
              <w:jc w:val="center"/>
            </w:pPr>
            <w:r>
              <w:rPr>
                <w:rFonts w:ascii="Times New Roman" w:hAnsi="Times New Roman"/>
                <w:b/>
                <w:sz w:val="19"/>
              </w:rPr>
              <w:t>Model (Quant)</w:t>
            </w:r>
          </w:p>
        </w:tc>
        <w:tc>
          <w:tcPr>
            <w:tcW w:type="dxa" w:w="1008"/>
            <w:shd w:fill="EAECEE"/>
            <w:tcMar>
              <w:top w:w="120" w:type="dxa"/>
              <w:bottom w:w="120" w:type="dxa"/>
              <w:left w:w="140" w:type="dxa"/>
              <w:right w:w="140" w:type="dxa"/>
            </w:tcMar>
          </w:tcPr>
          <w:p>
            <w:pPr>
              <w:jc w:val="center"/>
            </w:pPr>
            <w:r>
              <w:rPr>
                <w:rFonts w:ascii="Times New Roman" w:hAnsi="Times New Roman"/>
                <w:b/>
                <w:sz w:val="19"/>
              </w:rPr>
              <w:t>Params</w:t>
            </w:r>
          </w:p>
        </w:tc>
        <w:tc>
          <w:tcPr>
            <w:tcW w:type="dxa" w:w="1008"/>
            <w:shd w:fill="EAECEE"/>
            <w:tcMar>
              <w:top w:w="120" w:type="dxa"/>
              <w:bottom w:w="120" w:type="dxa"/>
              <w:left w:w="140" w:type="dxa"/>
              <w:right w:w="140" w:type="dxa"/>
            </w:tcMar>
          </w:tcPr>
          <w:p>
            <w:pPr>
              <w:jc w:val="center"/>
            </w:pPr>
            <w:r>
              <w:rPr>
                <w:rFonts w:ascii="Times New Roman" w:hAnsi="Times New Roman"/>
                <w:b/>
                <w:sz w:val="19"/>
              </w:rPr>
              <w:t>VRAM</w:t>
            </w:r>
          </w:p>
        </w:tc>
        <w:tc>
          <w:tcPr>
            <w:tcW w:type="dxa" w:w="1152"/>
            <w:shd w:fill="EAECEE"/>
            <w:tcMar>
              <w:top w:w="120" w:type="dxa"/>
              <w:bottom w:w="120" w:type="dxa"/>
              <w:left w:w="140" w:type="dxa"/>
              <w:right w:w="140" w:type="dxa"/>
            </w:tcMar>
          </w:tcPr>
          <w:p>
            <w:pPr>
              <w:jc w:val="center"/>
            </w:pPr>
            <w:r>
              <w:rPr>
                <w:rFonts w:ascii="Times New Roman" w:hAnsi="Times New Roman"/>
                <w:b/>
                <w:sz w:val="19"/>
              </w:rPr>
              <w:t>Speed</w:t>
            </w:r>
          </w:p>
        </w:tc>
        <w:tc>
          <w:tcPr>
            <w:tcW w:type="dxa" w:w="864"/>
            <w:shd w:fill="EAECEE"/>
            <w:tcMar>
              <w:top w:w="120" w:type="dxa"/>
              <w:bottom w:w="120" w:type="dxa"/>
              <w:left w:w="140" w:type="dxa"/>
              <w:right w:w="140" w:type="dxa"/>
            </w:tcMar>
          </w:tcPr>
          <w:p>
            <w:pPr>
              <w:jc w:val="center"/>
            </w:pPr>
            <w:r>
              <w:rPr>
                <w:rFonts w:ascii="Times New Roman" w:hAnsi="Times New Roman"/>
                <w:b/>
                <w:sz w:val="19"/>
              </w:rPr>
              <w:t>Cond D</w:t>
            </w:r>
          </w:p>
        </w:tc>
        <w:tc>
          <w:tcPr>
            <w:tcW w:type="dxa" w:w="864"/>
            <w:shd w:fill="EAECEE"/>
            <w:tcMar>
              <w:top w:w="120" w:type="dxa"/>
              <w:bottom w:w="120" w:type="dxa"/>
              <w:left w:w="140" w:type="dxa"/>
              <w:right w:w="140" w:type="dxa"/>
            </w:tcMar>
          </w:tcPr>
          <w:p>
            <w:pPr>
              <w:jc w:val="center"/>
            </w:pPr>
            <w:r>
              <w:rPr>
                <w:rFonts w:ascii="Times New Roman" w:hAnsi="Times New Roman"/>
                <w:b/>
                <w:sz w:val="19"/>
              </w:rPr>
              <w:t>Cond E</w:t>
            </w:r>
          </w:p>
        </w:tc>
        <w:tc>
          <w:tcPr>
            <w:tcW w:type="dxa" w:w="864"/>
            <w:shd w:fill="EAECEE"/>
            <w:tcMar>
              <w:top w:w="120" w:type="dxa"/>
              <w:bottom w:w="120" w:type="dxa"/>
              <w:left w:w="140" w:type="dxa"/>
              <w:right w:w="140" w:type="dxa"/>
            </w:tcMar>
          </w:tcPr>
          <w:p>
            <w:pPr>
              <w:jc w:val="center"/>
            </w:pPr>
            <w:r>
              <w:rPr>
                <w:rFonts w:ascii="Times New Roman" w:hAnsi="Times New Roman"/>
                <w:b/>
                <w:sz w:val="19"/>
              </w:rPr>
              <w:t>Delta</w:t>
            </w:r>
          </w:p>
        </w:tc>
        <w:tc>
          <w:tcPr>
            <w:tcW w:type="dxa" w:w="1152"/>
            <w:shd w:fill="EAECEE"/>
            <w:tcMar>
              <w:top w:w="120" w:type="dxa"/>
              <w:bottom w:w="120" w:type="dxa"/>
              <w:left w:w="140" w:type="dxa"/>
              <w:right w:w="140" w:type="dxa"/>
            </w:tcMar>
          </w:tcPr>
          <w:p>
            <w:pPr>
              <w:jc w:val="center"/>
            </w:pPr>
            <w:r>
              <w:rPr>
                <w:rFonts w:ascii="Times New Roman" w:hAnsi="Times New Roman"/>
                <w:b/>
                <w:sz w:val="19"/>
              </w:rPr>
              <w:t>Syntax</w:t>
            </w:r>
          </w:p>
        </w:tc>
      </w:tr>
      <w:tr>
        <w:tc>
          <w:tcPr>
            <w:tcW w:type="dxa" w:w="2304"/>
            <w:shd w:fill="FFFFFF"/>
            <w:tcMar>
              <w:top w:w="100" w:type="dxa"/>
              <w:bottom w:w="100" w:type="dxa"/>
              <w:left w:w="120" w:type="dxa"/>
              <w:right w:w="120" w:type="dxa"/>
            </w:tcMar>
          </w:tcPr>
          <w:p>
            <w:pPr>
              <w:jc w:val="left"/>
            </w:pPr>
            <w:r>
              <w:rPr>
                <w:rFonts w:ascii="Times New Roman" w:hAnsi="Times New Roman"/>
                <w:sz w:val="18"/>
              </w:rPr>
              <w:t>Qwen 2.5 Coder 7B (Q4_K_M)</w:t>
            </w:r>
          </w:p>
        </w:tc>
        <w:tc>
          <w:tcPr>
            <w:tcW w:type="dxa" w:w="1008"/>
            <w:shd w:fill="FFFFFF"/>
            <w:tcMar>
              <w:top w:w="100" w:type="dxa"/>
              <w:bottom w:w="100" w:type="dxa"/>
              <w:left w:w="120" w:type="dxa"/>
              <w:right w:w="120" w:type="dxa"/>
            </w:tcMar>
          </w:tcPr>
          <w:p>
            <w:pPr>
              <w:jc w:val="center"/>
            </w:pPr>
            <w:r>
              <w:rPr>
                <w:rFonts w:ascii="Times New Roman" w:hAnsi="Times New Roman"/>
                <w:sz w:val="18"/>
              </w:rPr>
              <w:t>7.6B</w:t>
            </w:r>
          </w:p>
        </w:tc>
        <w:tc>
          <w:tcPr>
            <w:tcW w:type="dxa" w:w="1008"/>
            <w:shd w:fill="FFFFFF"/>
            <w:tcMar>
              <w:top w:w="100" w:type="dxa"/>
              <w:bottom w:w="100" w:type="dxa"/>
              <w:left w:w="120" w:type="dxa"/>
              <w:right w:w="120" w:type="dxa"/>
            </w:tcMar>
          </w:tcPr>
          <w:p>
            <w:pPr>
              <w:jc w:val="center"/>
            </w:pPr>
            <w:r>
              <w:rPr>
                <w:rFonts w:ascii="Times New Roman" w:hAnsi="Times New Roman"/>
                <w:sz w:val="18"/>
              </w:rPr>
              <w:t>6.2 GB</w:t>
            </w:r>
          </w:p>
        </w:tc>
        <w:tc>
          <w:tcPr>
            <w:tcW w:type="dxa" w:w="1152"/>
            <w:shd w:fill="FFFFFF"/>
            <w:tcMar>
              <w:top w:w="100" w:type="dxa"/>
              <w:bottom w:w="100" w:type="dxa"/>
              <w:left w:w="120" w:type="dxa"/>
              <w:right w:w="120" w:type="dxa"/>
            </w:tcMar>
          </w:tcPr>
          <w:p>
            <w:pPr>
              <w:jc w:val="center"/>
            </w:pPr>
            <w:r>
              <w:rPr>
                <w:rFonts w:ascii="Times New Roman" w:hAnsi="Times New Roman"/>
                <w:sz w:val="18"/>
              </w:rPr>
              <w:t>48.2 tok/s</w:t>
            </w:r>
          </w:p>
        </w:tc>
        <w:tc>
          <w:tcPr>
            <w:tcW w:type="dxa" w:w="864"/>
            <w:shd w:fill="FFFFFF"/>
            <w:tcMar>
              <w:top w:w="100" w:type="dxa"/>
              <w:bottom w:w="100" w:type="dxa"/>
              <w:left w:w="120" w:type="dxa"/>
              <w:right w:w="120" w:type="dxa"/>
            </w:tcMar>
          </w:tcPr>
          <w:p>
            <w:pPr>
              <w:jc w:val="center"/>
            </w:pPr>
            <w:r>
              <w:rPr>
                <w:rFonts w:ascii="Times New Roman" w:hAnsi="Times New Roman"/>
                <w:sz w:val="18"/>
              </w:rPr>
              <w:t>0.0197</w:t>
            </w:r>
          </w:p>
        </w:tc>
        <w:tc>
          <w:tcPr>
            <w:tcW w:type="dxa" w:w="864"/>
            <w:shd w:fill="FFFFFF"/>
            <w:tcMar>
              <w:top w:w="100" w:type="dxa"/>
              <w:bottom w:w="100" w:type="dxa"/>
              <w:left w:w="120" w:type="dxa"/>
              <w:right w:w="120" w:type="dxa"/>
            </w:tcMar>
          </w:tcPr>
          <w:p>
            <w:pPr>
              <w:jc w:val="center"/>
            </w:pPr>
            <w:r>
              <w:rPr>
                <w:rFonts w:ascii="Times New Roman" w:hAnsi="Times New Roman"/>
                <w:b/>
                <w:sz w:val="18"/>
              </w:rPr>
              <w:t>0.1927</w:t>
            </w:r>
          </w:p>
        </w:tc>
        <w:tc>
          <w:tcPr>
            <w:tcW w:type="dxa" w:w="864"/>
            <w:shd w:fill="FFFFFF"/>
            <w:tcMar>
              <w:top w:w="100" w:type="dxa"/>
              <w:bottom w:w="100" w:type="dxa"/>
              <w:left w:w="120" w:type="dxa"/>
              <w:right w:w="120" w:type="dxa"/>
            </w:tcMar>
          </w:tcPr>
          <w:p>
            <w:pPr>
              <w:jc w:val="center"/>
            </w:pPr>
            <w:r>
              <w:rPr>
                <w:rFonts w:ascii="Times New Roman" w:hAnsi="Times New Roman"/>
                <w:sz w:val="18"/>
              </w:rPr>
              <w:t>+0.173</w:t>
            </w:r>
          </w:p>
        </w:tc>
        <w:tc>
          <w:tcPr>
            <w:tcW w:type="dxa" w:w="1152"/>
            <w:shd w:fill="FFFFFF"/>
            <w:tcMar>
              <w:top w:w="100" w:type="dxa"/>
              <w:bottom w:w="100" w:type="dxa"/>
              <w:left w:w="120" w:type="dxa"/>
              <w:right w:w="120" w:type="dxa"/>
            </w:tcMar>
          </w:tcPr>
          <w:p>
            <w:pPr>
              <w:jc w:val="center"/>
            </w:pPr>
            <w:r>
              <w:rPr>
                <w:rFonts w:ascii="Times New Roman" w:hAnsi="Times New Roman"/>
                <w:sz w:val="18"/>
              </w:rPr>
              <w:t>100% PASS</w:t>
            </w:r>
          </w:p>
        </w:tc>
      </w:tr>
      <w:tr>
        <w:tc>
          <w:tcPr>
            <w:tcW w:type="dxa" w:w="2304"/>
            <w:shd w:fill="F8F9F9"/>
            <w:tcMar>
              <w:top w:w="100" w:type="dxa"/>
              <w:bottom w:w="100" w:type="dxa"/>
              <w:left w:w="120" w:type="dxa"/>
              <w:right w:w="120" w:type="dxa"/>
            </w:tcMar>
          </w:tcPr>
          <w:p>
            <w:pPr>
              <w:jc w:val="left"/>
            </w:pPr>
            <w:r>
              <w:rPr>
                <w:rFonts w:ascii="Times New Roman" w:hAnsi="Times New Roman"/>
                <w:sz w:val="18"/>
              </w:rPr>
              <w:t>Mistral 7B v0.3 (Q4_K_M)</w:t>
            </w:r>
          </w:p>
        </w:tc>
        <w:tc>
          <w:tcPr>
            <w:tcW w:type="dxa" w:w="1008"/>
            <w:shd w:fill="F8F9F9"/>
            <w:tcMar>
              <w:top w:w="100" w:type="dxa"/>
              <w:bottom w:w="100" w:type="dxa"/>
              <w:left w:w="120" w:type="dxa"/>
              <w:right w:w="120" w:type="dxa"/>
            </w:tcMar>
          </w:tcPr>
          <w:p>
            <w:pPr>
              <w:jc w:val="center"/>
            </w:pPr>
            <w:r>
              <w:rPr>
                <w:rFonts w:ascii="Times New Roman" w:hAnsi="Times New Roman"/>
                <w:sz w:val="18"/>
              </w:rPr>
              <w:t>7.2B</w:t>
            </w:r>
          </w:p>
        </w:tc>
        <w:tc>
          <w:tcPr>
            <w:tcW w:type="dxa" w:w="1008"/>
            <w:shd w:fill="F8F9F9"/>
            <w:tcMar>
              <w:top w:w="100" w:type="dxa"/>
              <w:bottom w:w="100" w:type="dxa"/>
              <w:left w:w="120" w:type="dxa"/>
              <w:right w:w="120" w:type="dxa"/>
            </w:tcMar>
          </w:tcPr>
          <w:p>
            <w:pPr>
              <w:jc w:val="center"/>
            </w:pPr>
            <w:r>
              <w:rPr>
                <w:rFonts w:ascii="Times New Roman" w:hAnsi="Times New Roman"/>
                <w:sz w:val="18"/>
              </w:rPr>
              <w:t>6.8 GB</w:t>
            </w:r>
          </w:p>
        </w:tc>
        <w:tc>
          <w:tcPr>
            <w:tcW w:type="dxa" w:w="1152"/>
            <w:shd w:fill="F8F9F9"/>
            <w:tcMar>
              <w:top w:w="100" w:type="dxa"/>
              <w:bottom w:w="100" w:type="dxa"/>
              <w:left w:w="120" w:type="dxa"/>
              <w:right w:w="120" w:type="dxa"/>
            </w:tcMar>
          </w:tcPr>
          <w:p>
            <w:pPr>
              <w:jc w:val="center"/>
            </w:pPr>
            <w:r>
              <w:rPr>
                <w:rFonts w:ascii="Times New Roman" w:hAnsi="Times New Roman"/>
                <w:sz w:val="18"/>
              </w:rPr>
              <w:t>52.1 tok/s</w:t>
            </w:r>
          </w:p>
        </w:tc>
        <w:tc>
          <w:tcPr>
            <w:tcW w:type="dxa" w:w="864"/>
            <w:shd w:fill="F8F9F9"/>
            <w:tcMar>
              <w:top w:w="100" w:type="dxa"/>
              <w:bottom w:w="100" w:type="dxa"/>
              <w:left w:w="120" w:type="dxa"/>
              <w:right w:w="120" w:type="dxa"/>
            </w:tcMar>
          </w:tcPr>
          <w:p>
            <w:pPr>
              <w:jc w:val="center"/>
            </w:pPr>
            <w:r>
              <w:rPr>
                <w:rFonts w:ascii="Times New Roman" w:hAnsi="Times New Roman"/>
                <w:sz w:val="18"/>
              </w:rPr>
              <w:t>0.5167</w:t>
            </w:r>
          </w:p>
        </w:tc>
        <w:tc>
          <w:tcPr>
            <w:tcW w:type="dxa" w:w="864"/>
            <w:shd w:fill="F8F9F9"/>
            <w:tcMar>
              <w:top w:w="100" w:type="dxa"/>
              <w:bottom w:w="100" w:type="dxa"/>
              <w:left w:w="120" w:type="dxa"/>
              <w:right w:w="120" w:type="dxa"/>
            </w:tcMar>
          </w:tcPr>
          <w:p>
            <w:pPr>
              <w:jc w:val="center"/>
            </w:pPr>
            <w:r>
              <w:rPr>
                <w:rFonts w:ascii="Times New Roman" w:hAnsi="Times New Roman"/>
                <w:b/>
                <w:sz w:val="18"/>
              </w:rPr>
              <w:t>0.8864</w:t>
            </w:r>
          </w:p>
        </w:tc>
        <w:tc>
          <w:tcPr>
            <w:tcW w:type="dxa" w:w="864"/>
            <w:shd w:fill="F8F9F9"/>
            <w:tcMar>
              <w:top w:w="100" w:type="dxa"/>
              <w:bottom w:w="100" w:type="dxa"/>
              <w:left w:w="120" w:type="dxa"/>
              <w:right w:w="120" w:type="dxa"/>
            </w:tcMar>
          </w:tcPr>
          <w:p>
            <w:pPr>
              <w:jc w:val="center"/>
            </w:pPr>
            <w:r>
              <w:rPr>
                <w:rFonts w:ascii="Times New Roman" w:hAnsi="Times New Roman"/>
                <w:sz w:val="18"/>
              </w:rPr>
              <w:t>+0.370</w:t>
            </w:r>
          </w:p>
        </w:tc>
        <w:tc>
          <w:tcPr>
            <w:tcW w:type="dxa" w:w="1152"/>
            <w:shd w:fill="F8F9F9"/>
            <w:tcMar>
              <w:top w:w="100" w:type="dxa"/>
              <w:bottom w:w="100" w:type="dxa"/>
              <w:left w:w="120" w:type="dxa"/>
              <w:right w:w="120" w:type="dxa"/>
            </w:tcMar>
          </w:tcPr>
          <w:p>
            <w:pPr>
              <w:jc w:val="center"/>
            </w:pPr>
            <w:r>
              <w:rPr>
                <w:rFonts w:ascii="Times New Roman" w:hAnsi="Times New Roman"/>
                <w:sz w:val="18"/>
              </w:rPr>
              <w:t>100% PASS</w:t>
            </w:r>
          </w:p>
        </w:tc>
      </w:tr>
      <w:tr>
        <w:tc>
          <w:tcPr>
            <w:tcW w:type="dxa" w:w="2304"/>
            <w:shd w:fill="FFFFFF"/>
            <w:tcMar>
              <w:top w:w="100" w:type="dxa"/>
              <w:bottom w:w="100" w:type="dxa"/>
              <w:left w:w="120" w:type="dxa"/>
              <w:right w:w="120" w:type="dxa"/>
            </w:tcMar>
          </w:tcPr>
          <w:p>
            <w:pPr>
              <w:jc w:val="left"/>
            </w:pPr>
            <w:r>
              <w:rPr>
                <w:rFonts w:ascii="Times New Roman" w:hAnsi="Times New Roman"/>
                <w:sz w:val="18"/>
              </w:rPr>
              <w:t>Llama 3.1 8B (IQ4_XS)</w:t>
            </w:r>
          </w:p>
        </w:tc>
        <w:tc>
          <w:tcPr>
            <w:tcW w:type="dxa" w:w="1008"/>
            <w:shd w:fill="FFFFFF"/>
            <w:tcMar>
              <w:top w:w="100" w:type="dxa"/>
              <w:bottom w:w="100" w:type="dxa"/>
              <w:left w:w="120" w:type="dxa"/>
              <w:right w:w="120" w:type="dxa"/>
            </w:tcMar>
          </w:tcPr>
          <w:p>
            <w:pPr>
              <w:jc w:val="center"/>
            </w:pPr>
            <w:r>
              <w:rPr>
                <w:rFonts w:ascii="Times New Roman" w:hAnsi="Times New Roman"/>
                <w:sz w:val="18"/>
              </w:rPr>
              <w:t>8.0B</w:t>
            </w:r>
          </w:p>
        </w:tc>
        <w:tc>
          <w:tcPr>
            <w:tcW w:type="dxa" w:w="1008"/>
            <w:shd w:fill="FFFFFF"/>
            <w:tcMar>
              <w:top w:w="100" w:type="dxa"/>
              <w:bottom w:w="100" w:type="dxa"/>
              <w:left w:w="120" w:type="dxa"/>
              <w:right w:w="120" w:type="dxa"/>
            </w:tcMar>
          </w:tcPr>
          <w:p>
            <w:pPr>
              <w:jc w:val="center"/>
            </w:pPr>
            <w:r>
              <w:rPr>
                <w:rFonts w:ascii="Times New Roman" w:hAnsi="Times New Roman"/>
                <w:sz w:val="18"/>
              </w:rPr>
              <w:t>7.4 GB</w:t>
            </w:r>
          </w:p>
        </w:tc>
        <w:tc>
          <w:tcPr>
            <w:tcW w:type="dxa" w:w="1152"/>
            <w:shd w:fill="FFFFFF"/>
            <w:tcMar>
              <w:top w:w="100" w:type="dxa"/>
              <w:bottom w:w="100" w:type="dxa"/>
              <w:left w:w="120" w:type="dxa"/>
              <w:right w:w="120" w:type="dxa"/>
            </w:tcMar>
          </w:tcPr>
          <w:p>
            <w:pPr>
              <w:jc w:val="center"/>
            </w:pPr>
            <w:r>
              <w:rPr>
                <w:rFonts w:ascii="Times New Roman" w:hAnsi="Times New Roman"/>
                <w:sz w:val="18"/>
              </w:rPr>
              <w:t>44.0 tok/s</w:t>
            </w:r>
          </w:p>
        </w:tc>
        <w:tc>
          <w:tcPr>
            <w:tcW w:type="dxa" w:w="864"/>
            <w:shd w:fill="FFFFFF"/>
            <w:tcMar>
              <w:top w:w="100" w:type="dxa"/>
              <w:bottom w:w="100" w:type="dxa"/>
              <w:left w:w="120" w:type="dxa"/>
              <w:right w:w="120" w:type="dxa"/>
            </w:tcMar>
          </w:tcPr>
          <w:p>
            <w:pPr>
              <w:jc w:val="center"/>
            </w:pPr>
            <w:r>
              <w:rPr>
                <w:rFonts w:ascii="Times New Roman" w:hAnsi="Times New Roman"/>
                <w:sz w:val="18"/>
              </w:rPr>
              <w:t>0.8700</w:t>
            </w:r>
          </w:p>
        </w:tc>
        <w:tc>
          <w:tcPr>
            <w:tcW w:type="dxa" w:w="864"/>
            <w:shd w:fill="FFFFFF"/>
            <w:tcMar>
              <w:top w:w="100" w:type="dxa"/>
              <w:bottom w:w="100" w:type="dxa"/>
              <w:left w:w="120" w:type="dxa"/>
              <w:right w:w="120" w:type="dxa"/>
            </w:tcMar>
          </w:tcPr>
          <w:p>
            <w:pPr>
              <w:jc w:val="center"/>
            </w:pPr>
            <w:r>
              <w:rPr>
                <w:rFonts w:ascii="Times New Roman" w:hAnsi="Times New Roman"/>
                <w:b/>
                <w:sz w:val="18"/>
              </w:rPr>
              <w:t>0.9890</w:t>
            </w:r>
          </w:p>
        </w:tc>
        <w:tc>
          <w:tcPr>
            <w:tcW w:type="dxa" w:w="864"/>
            <w:shd w:fill="FFFFFF"/>
            <w:tcMar>
              <w:top w:w="100" w:type="dxa"/>
              <w:bottom w:w="100" w:type="dxa"/>
              <w:left w:w="120" w:type="dxa"/>
              <w:right w:w="120" w:type="dxa"/>
            </w:tcMar>
          </w:tcPr>
          <w:p>
            <w:pPr>
              <w:jc w:val="center"/>
            </w:pPr>
            <w:r>
              <w:rPr>
                <w:rFonts w:ascii="Times New Roman" w:hAnsi="Times New Roman"/>
                <w:sz w:val="18"/>
              </w:rPr>
              <w:t>+0.119</w:t>
            </w:r>
          </w:p>
        </w:tc>
        <w:tc>
          <w:tcPr>
            <w:tcW w:type="dxa" w:w="1152"/>
            <w:shd w:fill="FFFFFF"/>
            <w:tcMar>
              <w:top w:w="100" w:type="dxa"/>
              <w:bottom w:w="100" w:type="dxa"/>
              <w:left w:w="120" w:type="dxa"/>
              <w:right w:w="120" w:type="dxa"/>
            </w:tcMar>
          </w:tcPr>
          <w:p>
            <w:pPr>
              <w:jc w:val="center"/>
            </w:pPr>
            <w:r>
              <w:rPr>
                <w:rFonts w:ascii="Times New Roman" w:hAnsi="Times New Roman"/>
                <w:sz w:val="18"/>
              </w:rPr>
              <w:t>100% PASS</w:t>
            </w:r>
          </w:p>
        </w:tc>
      </w:tr>
      <w:tr>
        <w:tc>
          <w:tcPr>
            <w:tcW w:type="dxa" w:w="2304"/>
            <w:shd w:fill="F8F9F9"/>
            <w:tcMar>
              <w:top w:w="100" w:type="dxa"/>
              <w:bottom w:w="100" w:type="dxa"/>
              <w:left w:w="120" w:type="dxa"/>
              <w:right w:w="120" w:type="dxa"/>
            </w:tcMar>
          </w:tcPr>
          <w:p>
            <w:pPr>
              <w:jc w:val="left"/>
            </w:pPr>
            <w:r>
              <w:rPr>
                <w:rFonts w:ascii="Times New Roman" w:hAnsi="Times New Roman"/>
                <w:sz w:val="18"/>
              </w:rPr>
              <w:t>Gemma 2 9B IT (Q4_K_M)</w:t>
            </w:r>
          </w:p>
        </w:tc>
        <w:tc>
          <w:tcPr>
            <w:tcW w:type="dxa" w:w="1008"/>
            <w:shd w:fill="F8F9F9"/>
            <w:tcMar>
              <w:top w:w="100" w:type="dxa"/>
              <w:bottom w:w="100" w:type="dxa"/>
              <w:left w:w="120" w:type="dxa"/>
              <w:right w:w="120" w:type="dxa"/>
            </w:tcMar>
          </w:tcPr>
          <w:p>
            <w:pPr>
              <w:jc w:val="center"/>
            </w:pPr>
            <w:r>
              <w:rPr>
                <w:rFonts w:ascii="Times New Roman" w:hAnsi="Times New Roman"/>
                <w:sz w:val="18"/>
              </w:rPr>
              <w:t>9.2B</w:t>
            </w:r>
          </w:p>
        </w:tc>
        <w:tc>
          <w:tcPr>
            <w:tcW w:type="dxa" w:w="1008"/>
            <w:shd w:fill="F8F9F9"/>
            <w:tcMar>
              <w:top w:w="100" w:type="dxa"/>
              <w:bottom w:w="100" w:type="dxa"/>
              <w:left w:w="120" w:type="dxa"/>
              <w:right w:w="120" w:type="dxa"/>
            </w:tcMar>
          </w:tcPr>
          <w:p>
            <w:pPr>
              <w:jc w:val="center"/>
            </w:pPr>
            <w:r>
              <w:rPr>
                <w:rFonts w:ascii="Times New Roman" w:hAnsi="Times New Roman"/>
                <w:sz w:val="18"/>
              </w:rPr>
              <w:t>8.9 GB</w:t>
            </w:r>
          </w:p>
        </w:tc>
        <w:tc>
          <w:tcPr>
            <w:tcW w:type="dxa" w:w="1152"/>
            <w:shd w:fill="F8F9F9"/>
            <w:tcMar>
              <w:top w:w="100" w:type="dxa"/>
              <w:bottom w:w="100" w:type="dxa"/>
              <w:left w:w="120" w:type="dxa"/>
              <w:right w:w="120" w:type="dxa"/>
            </w:tcMar>
          </w:tcPr>
          <w:p>
            <w:pPr>
              <w:jc w:val="center"/>
            </w:pPr>
            <w:r>
              <w:rPr>
                <w:rFonts w:ascii="Times New Roman" w:hAnsi="Times New Roman"/>
                <w:sz w:val="18"/>
              </w:rPr>
              <w:t>38.4 tok/s</w:t>
            </w:r>
          </w:p>
        </w:tc>
        <w:tc>
          <w:tcPr>
            <w:tcW w:type="dxa" w:w="864"/>
            <w:shd w:fill="F8F9F9"/>
            <w:tcMar>
              <w:top w:w="100" w:type="dxa"/>
              <w:bottom w:w="100" w:type="dxa"/>
              <w:left w:w="120" w:type="dxa"/>
              <w:right w:w="120" w:type="dxa"/>
            </w:tcMar>
          </w:tcPr>
          <w:p>
            <w:pPr>
              <w:jc w:val="center"/>
            </w:pPr>
            <w:r>
              <w:rPr>
                <w:rFonts w:ascii="Times New Roman" w:hAnsi="Times New Roman"/>
                <w:sz w:val="18"/>
              </w:rPr>
              <w:t>0.8000</w:t>
            </w:r>
          </w:p>
        </w:tc>
        <w:tc>
          <w:tcPr>
            <w:tcW w:type="dxa" w:w="864"/>
            <w:shd w:fill="F8F9F9"/>
            <w:tcMar>
              <w:top w:w="100" w:type="dxa"/>
              <w:bottom w:w="100" w:type="dxa"/>
              <w:left w:w="120" w:type="dxa"/>
              <w:right w:w="120" w:type="dxa"/>
            </w:tcMar>
          </w:tcPr>
          <w:p>
            <w:pPr>
              <w:jc w:val="center"/>
            </w:pPr>
            <w:r>
              <w:rPr>
                <w:rFonts w:ascii="Times New Roman" w:hAnsi="Times New Roman"/>
                <w:b/>
                <w:sz w:val="18"/>
              </w:rPr>
              <w:t>1.0000</w:t>
            </w:r>
          </w:p>
        </w:tc>
        <w:tc>
          <w:tcPr>
            <w:tcW w:type="dxa" w:w="864"/>
            <w:shd w:fill="F8F9F9"/>
            <w:tcMar>
              <w:top w:w="100" w:type="dxa"/>
              <w:bottom w:w="100" w:type="dxa"/>
              <w:left w:w="120" w:type="dxa"/>
              <w:right w:w="120" w:type="dxa"/>
            </w:tcMar>
          </w:tcPr>
          <w:p>
            <w:pPr>
              <w:jc w:val="center"/>
            </w:pPr>
            <w:r>
              <w:rPr>
                <w:rFonts w:ascii="Times New Roman" w:hAnsi="Times New Roman"/>
                <w:sz w:val="18"/>
              </w:rPr>
              <w:t>+0.200</w:t>
            </w:r>
          </w:p>
        </w:tc>
        <w:tc>
          <w:tcPr>
            <w:tcW w:type="dxa" w:w="1152"/>
            <w:shd w:fill="F8F9F9"/>
            <w:tcMar>
              <w:top w:w="100" w:type="dxa"/>
              <w:bottom w:w="100" w:type="dxa"/>
              <w:left w:w="120" w:type="dxa"/>
              <w:right w:w="120" w:type="dxa"/>
            </w:tcMar>
          </w:tcPr>
          <w:p>
            <w:pPr>
              <w:jc w:val="center"/>
            </w:pPr>
            <w:r>
              <w:rPr>
                <w:rFonts w:ascii="Times New Roman" w:hAnsi="Times New Roman"/>
                <w:sz w:val="18"/>
              </w:rPr>
              <w:t>100% PASS</w:t>
            </w:r>
          </w:p>
        </w:tc>
      </w:tr>
      <w:tr>
        <w:tc>
          <w:tcPr>
            <w:tcW w:type="dxa" w:w="2304"/>
            <w:shd w:fill="FFFFFF"/>
            <w:tcMar>
              <w:top w:w="100" w:type="dxa"/>
              <w:bottom w:w="100" w:type="dxa"/>
              <w:left w:w="120" w:type="dxa"/>
              <w:right w:w="120" w:type="dxa"/>
            </w:tcMar>
          </w:tcPr>
          <w:p>
            <w:pPr>
              <w:jc w:val="left"/>
            </w:pPr>
            <w:r>
              <w:rPr>
                <w:rFonts w:ascii="Times New Roman" w:hAnsi="Times New Roman"/>
                <w:sz w:val="18"/>
              </w:rPr>
              <w:t>DeepSeek 16B (Q4_K_M)</w:t>
            </w:r>
          </w:p>
        </w:tc>
        <w:tc>
          <w:tcPr>
            <w:tcW w:type="dxa" w:w="1008"/>
            <w:shd w:fill="FFFFFF"/>
            <w:tcMar>
              <w:top w:w="100" w:type="dxa"/>
              <w:bottom w:w="100" w:type="dxa"/>
              <w:left w:w="120" w:type="dxa"/>
              <w:right w:w="120" w:type="dxa"/>
            </w:tcMar>
          </w:tcPr>
          <w:p>
            <w:pPr>
              <w:jc w:val="center"/>
            </w:pPr>
            <w:r>
              <w:rPr>
                <w:rFonts w:ascii="Times New Roman" w:hAnsi="Times New Roman"/>
                <w:sz w:val="18"/>
              </w:rPr>
              <w:t>15.7B</w:t>
            </w:r>
          </w:p>
        </w:tc>
        <w:tc>
          <w:tcPr>
            <w:tcW w:type="dxa" w:w="1008"/>
            <w:shd w:fill="FFFFFF"/>
            <w:tcMar>
              <w:top w:w="100" w:type="dxa"/>
              <w:bottom w:w="100" w:type="dxa"/>
              <w:left w:w="120" w:type="dxa"/>
              <w:right w:w="120" w:type="dxa"/>
            </w:tcMar>
          </w:tcPr>
          <w:p>
            <w:pPr>
              <w:jc w:val="center"/>
            </w:pPr>
            <w:r>
              <w:rPr>
                <w:rFonts w:ascii="Times New Roman" w:hAnsi="Times New Roman"/>
                <w:sz w:val="18"/>
              </w:rPr>
              <w:t>9.8 GB</w:t>
            </w:r>
          </w:p>
        </w:tc>
        <w:tc>
          <w:tcPr>
            <w:tcW w:type="dxa" w:w="1152"/>
            <w:shd w:fill="FFFFFF"/>
            <w:tcMar>
              <w:top w:w="100" w:type="dxa"/>
              <w:bottom w:w="100" w:type="dxa"/>
              <w:left w:w="120" w:type="dxa"/>
              <w:right w:w="120" w:type="dxa"/>
            </w:tcMar>
          </w:tcPr>
          <w:p>
            <w:pPr>
              <w:jc w:val="center"/>
            </w:pPr>
            <w:r>
              <w:rPr>
                <w:rFonts w:ascii="Times New Roman" w:hAnsi="Times New Roman"/>
                <w:sz w:val="18"/>
              </w:rPr>
              <w:t>32.6 tok/s</w:t>
            </w:r>
          </w:p>
        </w:tc>
        <w:tc>
          <w:tcPr>
            <w:tcW w:type="dxa" w:w="864"/>
            <w:shd w:fill="FFFFFF"/>
            <w:tcMar>
              <w:top w:w="100" w:type="dxa"/>
              <w:bottom w:w="100" w:type="dxa"/>
              <w:left w:w="120" w:type="dxa"/>
              <w:right w:w="120" w:type="dxa"/>
            </w:tcMar>
          </w:tcPr>
          <w:p>
            <w:pPr>
              <w:jc w:val="center"/>
            </w:pPr>
            <w:r>
              <w:rPr>
                <w:rFonts w:ascii="Times New Roman" w:hAnsi="Times New Roman"/>
                <w:sz w:val="18"/>
              </w:rPr>
              <w:t>0.4420</w:t>
            </w:r>
          </w:p>
        </w:tc>
        <w:tc>
          <w:tcPr>
            <w:tcW w:type="dxa" w:w="864"/>
            <w:shd w:fill="FFFFFF"/>
            <w:tcMar>
              <w:top w:w="100" w:type="dxa"/>
              <w:bottom w:w="100" w:type="dxa"/>
              <w:left w:w="120" w:type="dxa"/>
              <w:right w:w="120" w:type="dxa"/>
            </w:tcMar>
          </w:tcPr>
          <w:p>
            <w:pPr>
              <w:jc w:val="center"/>
            </w:pPr>
            <w:r>
              <w:rPr>
                <w:rFonts w:ascii="Times New Roman" w:hAnsi="Times New Roman"/>
                <w:b/>
                <w:sz w:val="18"/>
              </w:rPr>
              <w:t>0.9410</w:t>
            </w:r>
          </w:p>
        </w:tc>
        <w:tc>
          <w:tcPr>
            <w:tcW w:type="dxa" w:w="864"/>
            <w:shd w:fill="FFFFFF"/>
            <w:tcMar>
              <w:top w:w="100" w:type="dxa"/>
              <w:bottom w:w="100" w:type="dxa"/>
              <w:left w:w="120" w:type="dxa"/>
              <w:right w:w="120" w:type="dxa"/>
            </w:tcMar>
          </w:tcPr>
          <w:p>
            <w:pPr>
              <w:jc w:val="center"/>
            </w:pPr>
            <w:r>
              <w:rPr>
                <w:rFonts w:ascii="Times New Roman" w:hAnsi="Times New Roman"/>
                <w:sz w:val="18"/>
              </w:rPr>
              <w:t>+0.499</w:t>
            </w:r>
          </w:p>
        </w:tc>
        <w:tc>
          <w:tcPr>
            <w:tcW w:type="dxa" w:w="1152"/>
            <w:shd w:fill="FFFFFF"/>
            <w:tcMar>
              <w:top w:w="100" w:type="dxa"/>
              <w:bottom w:w="100" w:type="dxa"/>
              <w:left w:w="120" w:type="dxa"/>
              <w:right w:w="120" w:type="dxa"/>
            </w:tcMar>
          </w:tcPr>
          <w:p>
            <w:pPr>
              <w:jc w:val="center"/>
            </w:pPr>
            <w:r>
              <w:rPr>
                <w:rFonts w:ascii="Times New Roman" w:hAnsi="Times New Roman"/>
                <w:sz w:val="18"/>
              </w:rPr>
              <w:t>98% PASS</w:t>
            </w:r>
          </w:p>
        </w:tc>
      </w:tr>
      <w:tr>
        <w:tc>
          <w:tcPr>
            <w:tcW w:type="dxa" w:w="2304"/>
            <w:shd w:fill="F8F9F9"/>
            <w:tcMar>
              <w:top w:w="100" w:type="dxa"/>
              <w:bottom w:w="100" w:type="dxa"/>
              <w:left w:w="120" w:type="dxa"/>
              <w:right w:w="120" w:type="dxa"/>
            </w:tcMar>
          </w:tcPr>
          <w:p>
            <w:pPr>
              <w:jc w:val="left"/>
            </w:pPr>
            <w:r>
              <w:rPr>
                <w:rFonts w:ascii="Times New Roman" w:hAnsi="Times New Roman"/>
                <w:sz w:val="18"/>
              </w:rPr>
              <w:t>Phi-3.5 Mini 3.8B (Q4_K_M)</w:t>
            </w:r>
          </w:p>
        </w:tc>
        <w:tc>
          <w:tcPr>
            <w:tcW w:type="dxa" w:w="1008"/>
            <w:shd w:fill="F8F9F9"/>
            <w:tcMar>
              <w:top w:w="100" w:type="dxa"/>
              <w:bottom w:w="100" w:type="dxa"/>
              <w:left w:w="120" w:type="dxa"/>
              <w:right w:w="120" w:type="dxa"/>
            </w:tcMar>
          </w:tcPr>
          <w:p>
            <w:pPr>
              <w:jc w:val="center"/>
            </w:pPr>
            <w:r>
              <w:rPr>
                <w:rFonts w:ascii="Times New Roman" w:hAnsi="Times New Roman"/>
                <w:sz w:val="18"/>
              </w:rPr>
              <w:t>3.8B</w:t>
            </w:r>
          </w:p>
        </w:tc>
        <w:tc>
          <w:tcPr>
            <w:tcW w:type="dxa" w:w="1008"/>
            <w:shd w:fill="F8F9F9"/>
            <w:tcMar>
              <w:top w:w="100" w:type="dxa"/>
              <w:bottom w:w="100" w:type="dxa"/>
              <w:left w:w="120" w:type="dxa"/>
              <w:right w:w="120" w:type="dxa"/>
            </w:tcMar>
          </w:tcPr>
          <w:p>
            <w:pPr>
              <w:jc w:val="center"/>
            </w:pPr>
            <w:r>
              <w:rPr>
                <w:rFonts w:ascii="Times New Roman" w:hAnsi="Times New Roman"/>
                <w:sz w:val="18"/>
              </w:rPr>
              <w:t>3.4 GB</w:t>
            </w:r>
          </w:p>
        </w:tc>
        <w:tc>
          <w:tcPr>
            <w:tcW w:type="dxa" w:w="1152"/>
            <w:shd w:fill="F8F9F9"/>
            <w:tcMar>
              <w:top w:w="100" w:type="dxa"/>
              <w:bottom w:w="100" w:type="dxa"/>
              <w:left w:w="120" w:type="dxa"/>
              <w:right w:w="120" w:type="dxa"/>
            </w:tcMar>
          </w:tcPr>
          <w:p>
            <w:pPr>
              <w:jc w:val="center"/>
            </w:pPr>
            <w:r>
              <w:rPr>
                <w:rFonts w:ascii="Times New Roman" w:hAnsi="Times New Roman"/>
                <w:sz w:val="18"/>
              </w:rPr>
              <w:t>68.5 tok/s</w:t>
            </w:r>
          </w:p>
        </w:tc>
        <w:tc>
          <w:tcPr>
            <w:tcW w:type="dxa" w:w="864"/>
            <w:shd w:fill="F8F9F9"/>
            <w:tcMar>
              <w:top w:w="100" w:type="dxa"/>
              <w:bottom w:w="100" w:type="dxa"/>
              <w:left w:w="120" w:type="dxa"/>
              <w:right w:w="120" w:type="dxa"/>
            </w:tcMar>
          </w:tcPr>
          <w:p>
            <w:pPr>
              <w:jc w:val="center"/>
            </w:pPr>
            <w:r>
              <w:rPr>
                <w:rFonts w:ascii="Times New Roman" w:hAnsi="Times New Roman"/>
                <w:sz w:val="18"/>
              </w:rPr>
              <w:t>0.1250</w:t>
            </w:r>
          </w:p>
        </w:tc>
        <w:tc>
          <w:tcPr>
            <w:tcW w:type="dxa" w:w="864"/>
            <w:shd w:fill="F8F9F9"/>
            <w:tcMar>
              <w:top w:w="100" w:type="dxa"/>
              <w:bottom w:w="100" w:type="dxa"/>
              <w:left w:w="120" w:type="dxa"/>
              <w:right w:w="120" w:type="dxa"/>
            </w:tcMar>
          </w:tcPr>
          <w:p>
            <w:pPr>
              <w:jc w:val="center"/>
            </w:pPr>
            <w:r>
              <w:rPr>
                <w:rFonts w:ascii="Times New Roman" w:hAnsi="Times New Roman"/>
                <w:b/>
                <w:sz w:val="18"/>
              </w:rPr>
              <w:t>0.8120</w:t>
            </w:r>
          </w:p>
        </w:tc>
        <w:tc>
          <w:tcPr>
            <w:tcW w:type="dxa" w:w="864"/>
            <w:shd w:fill="F8F9F9"/>
            <w:tcMar>
              <w:top w:w="100" w:type="dxa"/>
              <w:bottom w:w="100" w:type="dxa"/>
              <w:left w:w="120" w:type="dxa"/>
              <w:right w:w="120" w:type="dxa"/>
            </w:tcMar>
          </w:tcPr>
          <w:p>
            <w:pPr>
              <w:jc w:val="center"/>
            </w:pPr>
            <w:r>
              <w:rPr>
                <w:rFonts w:ascii="Times New Roman" w:hAnsi="Times New Roman"/>
                <w:sz w:val="18"/>
              </w:rPr>
              <w:t>+0.687</w:t>
            </w:r>
          </w:p>
        </w:tc>
        <w:tc>
          <w:tcPr>
            <w:tcW w:type="dxa" w:w="1152"/>
            <w:shd w:fill="F8F9F9"/>
            <w:tcMar>
              <w:top w:w="100" w:type="dxa"/>
              <w:bottom w:w="100" w:type="dxa"/>
              <w:left w:w="120" w:type="dxa"/>
              <w:right w:w="120" w:type="dxa"/>
            </w:tcMar>
          </w:tcPr>
          <w:p>
            <w:pPr>
              <w:jc w:val="center"/>
            </w:pPr>
            <w:r>
              <w:rPr>
                <w:rFonts w:ascii="Times New Roman" w:hAnsi="Times New Roman"/>
                <w:sz w:val="18"/>
              </w:rPr>
              <w:t>96% PASS</w:t>
            </w:r>
          </w:p>
        </w:tc>
      </w:tr>
      <w:tr>
        <w:tc>
          <w:tcPr>
            <w:tcW w:type="dxa" w:w="2304"/>
            <w:shd w:fill="FFFFFF"/>
            <w:tcMar>
              <w:top w:w="100" w:type="dxa"/>
              <w:bottom w:w="100" w:type="dxa"/>
              <w:left w:w="120" w:type="dxa"/>
              <w:right w:w="120" w:type="dxa"/>
            </w:tcMar>
          </w:tcPr>
          <w:p>
            <w:pPr>
              <w:jc w:val="left"/>
            </w:pPr>
            <w:r>
              <w:rPr>
                <w:rFonts w:ascii="Times New Roman" w:hAnsi="Times New Roman"/>
                <w:sz w:val="18"/>
              </w:rPr>
              <w:t>Qwen 2.5 1.5B (Q8_0)</w:t>
            </w:r>
          </w:p>
        </w:tc>
        <w:tc>
          <w:tcPr>
            <w:tcW w:type="dxa" w:w="1008"/>
            <w:shd w:fill="FFFFFF"/>
            <w:tcMar>
              <w:top w:w="100" w:type="dxa"/>
              <w:bottom w:w="100" w:type="dxa"/>
              <w:left w:w="120" w:type="dxa"/>
              <w:right w:w="120" w:type="dxa"/>
            </w:tcMar>
          </w:tcPr>
          <w:p>
            <w:pPr>
              <w:jc w:val="center"/>
            </w:pPr>
            <w:r>
              <w:rPr>
                <w:rFonts w:ascii="Times New Roman" w:hAnsi="Times New Roman"/>
                <w:sz w:val="18"/>
              </w:rPr>
              <w:t>1.5B</w:t>
            </w:r>
          </w:p>
        </w:tc>
        <w:tc>
          <w:tcPr>
            <w:tcW w:type="dxa" w:w="1008"/>
            <w:shd w:fill="FFFFFF"/>
            <w:tcMar>
              <w:top w:w="100" w:type="dxa"/>
              <w:bottom w:w="100" w:type="dxa"/>
              <w:left w:w="120" w:type="dxa"/>
              <w:right w:w="120" w:type="dxa"/>
            </w:tcMar>
          </w:tcPr>
          <w:p>
            <w:pPr>
              <w:jc w:val="center"/>
            </w:pPr>
            <w:r>
              <w:rPr>
                <w:rFonts w:ascii="Times New Roman" w:hAnsi="Times New Roman"/>
                <w:sz w:val="18"/>
              </w:rPr>
              <w:t>2.1 GB</w:t>
            </w:r>
          </w:p>
        </w:tc>
        <w:tc>
          <w:tcPr>
            <w:tcW w:type="dxa" w:w="1152"/>
            <w:shd w:fill="FFFFFF"/>
            <w:tcMar>
              <w:top w:w="100" w:type="dxa"/>
              <w:bottom w:w="100" w:type="dxa"/>
              <w:left w:w="120" w:type="dxa"/>
              <w:right w:w="120" w:type="dxa"/>
            </w:tcMar>
          </w:tcPr>
          <w:p>
            <w:pPr>
              <w:jc w:val="center"/>
            </w:pPr>
            <w:r>
              <w:rPr>
                <w:rFonts w:ascii="Times New Roman" w:hAnsi="Times New Roman"/>
                <w:sz w:val="18"/>
              </w:rPr>
              <w:t>84.0 tok/s</w:t>
            </w:r>
          </w:p>
        </w:tc>
        <w:tc>
          <w:tcPr>
            <w:tcW w:type="dxa" w:w="864"/>
            <w:shd w:fill="FFFFFF"/>
            <w:tcMar>
              <w:top w:w="100" w:type="dxa"/>
              <w:bottom w:w="100" w:type="dxa"/>
              <w:left w:w="120" w:type="dxa"/>
              <w:right w:w="120" w:type="dxa"/>
            </w:tcMar>
          </w:tcPr>
          <w:p>
            <w:pPr>
              <w:jc w:val="center"/>
            </w:pPr>
            <w:r>
              <w:rPr>
                <w:rFonts w:ascii="Times New Roman" w:hAnsi="Times New Roman"/>
                <w:sz w:val="18"/>
              </w:rPr>
              <w:t>0.0410</w:t>
            </w:r>
          </w:p>
        </w:tc>
        <w:tc>
          <w:tcPr>
            <w:tcW w:type="dxa" w:w="864"/>
            <w:shd w:fill="FFFFFF"/>
            <w:tcMar>
              <w:top w:w="100" w:type="dxa"/>
              <w:bottom w:w="100" w:type="dxa"/>
              <w:left w:w="120" w:type="dxa"/>
              <w:right w:w="120" w:type="dxa"/>
            </w:tcMar>
          </w:tcPr>
          <w:p>
            <w:pPr>
              <w:jc w:val="center"/>
            </w:pPr>
            <w:r>
              <w:rPr>
                <w:rFonts w:ascii="Times New Roman" w:hAnsi="Times New Roman"/>
                <w:b/>
                <w:sz w:val="18"/>
              </w:rPr>
              <w:t>0.6750</w:t>
            </w:r>
          </w:p>
        </w:tc>
        <w:tc>
          <w:tcPr>
            <w:tcW w:type="dxa" w:w="864"/>
            <w:shd w:fill="FFFFFF"/>
            <w:tcMar>
              <w:top w:w="100" w:type="dxa"/>
              <w:bottom w:w="100" w:type="dxa"/>
              <w:left w:w="120" w:type="dxa"/>
              <w:right w:w="120" w:type="dxa"/>
            </w:tcMar>
          </w:tcPr>
          <w:p>
            <w:pPr>
              <w:jc w:val="center"/>
            </w:pPr>
            <w:r>
              <w:rPr>
                <w:rFonts w:ascii="Times New Roman" w:hAnsi="Times New Roman"/>
                <w:sz w:val="18"/>
              </w:rPr>
              <w:t>+0.634</w:t>
            </w:r>
          </w:p>
        </w:tc>
        <w:tc>
          <w:tcPr>
            <w:tcW w:type="dxa" w:w="1152"/>
            <w:shd w:fill="FFFFFF"/>
            <w:tcMar>
              <w:top w:w="100" w:type="dxa"/>
              <w:bottom w:w="100" w:type="dxa"/>
              <w:left w:w="120" w:type="dxa"/>
              <w:right w:w="120" w:type="dxa"/>
            </w:tcMar>
          </w:tcPr>
          <w:p>
            <w:pPr>
              <w:jc w:val="center"/>
            </w:pPr>
            <w:r>
              <w:rPr>
                <w:rFonts w:ascii="Times New Roman" w:hAnsi="Times New Roman"/>
                <w:sz w:val="18"/>
              </w:rPr>
              <w:t>92% PASS</w:t>
            </w:r>
          </w:p>
        </w:tc>
      </w:tr>
      <w:tr>
        <w:tc>
          <w:tcPr>
            <w:tcW w:type="dxa" w:w="2304"/>
            <w:shd w:fill="F8F9F9"/>
            <w:tcMar>
              <w:top w:w="100" w:type="dxa"/>
              <w:bottom w:w="100" w:type="dxa"/>
              <w:left w:w="120" w:type="dxa"/>
              <w:right w:w="120" w:type="dxa"/>
            </w:tcMar>
          </w:tcPr>
          <w:p>
            <w:pPr>
              <w:jc w:val="left"/>
            </w:pPr>
            <w:r>
              <w:rPr>
                <w:rFonts w:ascii="Times New Roman" w:hAnsi="Times New Roman"/>
                <w:sz w:val="18"/>
              </w:rPr>
              <w:t>Llama 3.2 3B (Q4_K_M)</w:t>
            </w:r>
          </w:p>
        </w:tc>
        <w:tc>
          <w:tcPr>
            <w:tcW w:type="dxa" w:w="1008"/>
            <w:shd w:fill="F8F9F9"/>
            <w:tcMar>
              <w:top w:w="100" w:type="dxa"/>
              <w:bottom w:w="100" w:type="dxa"/>
              <w:left w:w="120" w:type="dxa"/>
              <w:right w:w="120" w:type="dxa"/>
            </w:tcMar>
          </w:tcPr>
          <w:p>
            <w:pPr>
              <w:jc w:val="center"/>
            </w:pPr>
            <w:r>
              <w:rPr>
                <w:rFonts w:ascii="Times New Roman" w:hAnsi="Times New Roman"/>
                <w:sz w:val="18"/>
              </w:rPr>
              <w:t>3.2B</w:t>
            </w:r>
          </w:p>
        </w:tc>
        <w:tc>
          <w:tcPr>
            <w:tcW w:type="dxa" w:w="1008"/>
            <w:shd w:fill="F8F9F9"/>
            <w:tcMar>
              <w:top w:w="100" w:type="dxa"/>
              <w:bottom w:w="100" w:type="dxa"/>
              <w:left w:w="120" w:type="dxa"/>
              <w:right w:w="120" w:type="dxa"/>
            </w:tcMar>
          </w:tcPr>
          <w:p>
            <w:pPr>
              <w:jc w:val="center"/>
            </w:pPr>
            <w:r>
              <w:rPr>
                <w:rFonts w:ascii="Times New Roman" w:hAnsi="Times New Roman"/>
                <w:sz w:val="18"/>
              </w:rPr>
              <w:t>2.9 GB</w:t>
            </w:r>
          </w:p>
        </w:tc>
        <w:tc>
          <w:tcPr>
            <w:tcW w:type="dxa" w:w="1152"/>
            <w:shd w:fill="F8F9F9"/>
            <w:tcMar>
              <w:top w:w="100" w:type="dxa"/>
              <w:bottom w:w="100" w:type="dxa"/>
              <w:left w:w="120" w:type="dxa"/>
              <w:right w:w="120" w:type="dxa"/>
            </w:tcMar>
          </w:tcPr>
          <w:p>
            <w:pPr>
              <w:jc w:val="center"/>
            </w:pPr>
            <w:r>
              <w:rPr>
                <w:rFonts w:ascii="Times New Roman" w:hAnsi="Times New Roman"/>
                <w:sz w:val="18"/>
              </w:rPr>
              <w:t>72.0 tok/s</w:t>
            </w:r>
          </w:p>
        </w:tc>
        <w:tc>
          <w:tcPr>
            <w:tcW w:type="dxa" w:w="864"/>
            <w:shd w:fill="F8F9F9"/>
            <w:tcMar>
              <w:top w:w="100" w:type="dxa"/>
              <w:bottom w:w="100" w:type="dxa"/>
              <w:left w:w="120" w:type="dxa"/>
              <w:right w:w="120" w:type="dxa"/>
            </w:tcMar>
          </w:tcPr>
          <w:p>
            <w:pPr>
              <w:jc w:val="center"/>
            </w:pPr>
            <w:r>
              <w:rPr>
                <w:rFonts w:ascii="Times New Roman" w:hAnsi="Times New Roman"/>
                <w:sz w:val="18"/>
              </w:rPr>
              <w:t>0.2100</w:t>
            </w:r>
          </w:p>
        </w:tc>
        <w:tc>
          <w:tcPr>
            <w:tcW w:type="dxa" w:w="864"/>
            <w:shd w:fill="F8F9F9"/>
            <w:tcMar>
              <w:top w:w="100" w:type="dxa"/>
              <w:bottom w:w="100" w:type="dxa"/>
              <w:left w:w="120" w:type="dxa"/>
              <w:right w:w="120" w:type="dxa"/>
            </w:tcMar>
          </w:tcPr>
          <w:p>
            <w:pPr>
              <w:jc w:val="center"/>
            </w:pPr>
            <w:r>
              <w:rPr>
                <w:rFonts w:ascii="Times New Roman" w:hAnsi="Times New Roman"/>
                <w:b/>
                <w:sz w:val="18"/>
              </w:rPr>
              <w:t>0.8540</w:t>
            </w:r>
          </w:p>
        </w:tc>
        <w:tc>
          <w:tcPr>
            <w:tcW w:type="dxa" w:w="864"/>
            <w:shd w:fill="F8F9F9"/>
            <w:tcMar>
              <w:top w:w="100" w:type="dxa"/>
              <w:bottom w:w="100" w:type="dxa"/>
              <w:left w:w="120" w:type="dxa"/>
              <w:right w:w="120" w:type="dxa"/>
            </w:tcMar>
          </w:tcPr>
          <w:p>
            <w:pPr>
              <w:jc w:val="center"/>
            </w:pPr>
            <w:r>
              <w:rPr>
                <w:rFonts w:ascii="Times New Roman" w:hAnsi="Times New Roman"/>
                <w:sz w:val="18"/>
              </w:rPr>
              <w:t>+0.644</w:t>
            </w:r>
          </w:p>
        </w:tc>
        <w:tc>
          <w:tcPr>
            <w:tcW w:type="dxa" w:w="1152"/>
            <w:shd w:fill="F8F9F9"/>
            <w:tcMar>
              <w:top w:w="100" w:type="dxa"/>
              <w:bottom w:w="100" w:type="dxa"/>
              <w:left w:w="120" w:type="dxa"/>
              <w:right w:w="120" w:type="dxa"/>
            </w:tcMar>
          </w:tcPr>
          <w:p>
            <w:pPr>
              <w:jc w:val="center"/>
            </w:pPr>
            <w:r>
              <w:rPr>
                <w:rFonts w:ascii="Times New Roman" w:hAnsi="Times New Roman"/>
                <w:sz w:val="18"/>
              </w:rPr>
              <w:t>98% PASS</w:t>
            </w:r>
          </w:p>
        </w:tc>
      </w:tr>
    </w:tbl>
    <w:p>
      <w:pPr>
        <w:spacing w:before="80" w:after="160"/>
      </w:pPr>
    </w:p>
    <w:p>
      <w:pPr>
        <w:spacing w:before="160" w:after="80"/>
        <w:jc w:val="center"/>
      </w:pPr>
      <w:r>
        <w:drawing>
          <wp:inline xmlns:a="http://schemas.openxmlformats.org/drawingml/2006/main" xmlns:pic="http://schemas.openxmlformats.org/drawingml/2006/picture">
            <wp:extent cx="5669280" cy="3434021"/>
            <wp:docPr id="3" name="Picture 3"/>
            <wp:cNvGraphicFramePr>
              <a:graphicFrameLocks noChangeAspect="1"/>
            </wp:cNvGraphicFramePr>
            <a:graphic>
              <a:graphicData uri="http://schemas.openxmlformats.org/drawingml/2006/picture">
                <pic:pic>
                  <pic:nvPicPr>
                    <pic:cNvPr id="0" name="fig2a_tier1_local_benchmarks.png"/>
                    <pic:cNvPicPr/>
                  </pic:nvPicPr>
                  <pic:blipFill>
                    <a:blip r:embed="rId11"/>
                    <a:stretch>
                      <a:fillRect/>
                    </a:stretch>
                  </pic:blipFill>
                  <pic:spPr>
                    <a:xfrm>
                      <a:off x="0" y="0"/>
                      <a:ext cx="5669280" cy="3434021"/>
                    </a:xfrm>
                    <a:prstGeom prst="rect"/>
                  </pic:spPr>
                </pic:pic>
              </a:graphicData>
            </a:graphic>
          </wp:inline>
        </w:drawing>
      </w:r>
    </w:p>
    <w:p>
      <w:pPr>
        <w:spacing w:before="40" w:after="200"/>
        <w:jc w:val="center"/>
      </w:pPr>
      <w:r>
        <w:rPr>
          <w:rFonts w:ascii="Times New Roman" w:hAnsi="Times New Roman"/>
          <w:i/>
          <w:sz w:val="18"/>
        </w:rPr>
        <w:t>Figure 2: Tier 1 On-Device Local Edge Model Benchmark Analysis (4-Panel): (A) VRAM and System RAM offload memory footprint vs. 10GB hardware ceiling; (B) Token generation throughput (tok/s); (C) AST Structural Divergence gain (Delta AST) under Condition E; (D) Generated code AST syntax validity pass rate (%).</w:t>
      </w:r>
    </w:p>
    <w:p>
      <w:pPr>
        <w:keepNext/>
        <w:spacing w:before="240" w:after="80"/>
      </w:pPr>
      <w:r>
        <w:rPr>
          <w:rFonts w:ascii="Times New Roman" w:hAnsi="Times New Roman"/>
          <w:b/>
          <w:sz w:val="22"/>
        </w:rPr>
        <w:t>4.2 Tier 2: Cloud Frontier Flagship Architectures (Remote Cloud APIs)</w:t>
      </w:r>
    </w:p>
    <w:p>
      <w:pPr>
        <w:spacing w:before="0" w:after="120" w:line="276" w:lineRule="auto"/>
        <w:jc w:val="both"/>
      </w:pPr>
      <w:r>
        <w:rPr>
          <w:rFonts w:ascii="Times New Roman" w:hAnsi="Times New Roman"/>
          <w:sz w:val="20"/>
        </w:rPr>
        <w:t>Table 2 presents empirical telemetry for eight Ultra-Scale Cloud Frontier Flagship Models evaluated across distributed cloud API endpoints. Metrics evaluate prompt presentation noise reduction (N_filter %), end-to-end API pipeline latency (t_S1 + t_S2), structural AST divergence, upstream prompt caching token cost reduction (%), and synthesized architectural innovation classes.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fill="EAECEE"/>
            <w:tcMar>
              <w:top w:w="120" w:type="dxa"/>
              <w:bottom w:w="120" w:type="dxa"/>
              <w:left w:w="140" w:type="dxa"/>
              <w:right w:w="140" w:type="dxa"/>
            </w:tcMar>
          </w:tcPr>
          <w:p>
            <w:pPr>
              <w:jc w:val="center"/>
            </w:pPr>
            <w:r>
              <w:rPr>
                <w:rFonts w:ascii="Times New Roman" w:hAnsi="Times New Roman"/>
                <w:b/>
                <w:sz w:val="19"/>
              </w:rPr>
              <w:t>Flagship Model</w:t>
            </w:r>
          </w:p>
        </w:tc>
        <w:tc>
          <w:tcPr>
            <w:tcW w:type="dxa" w:w="1152"/>
            <w:shd w:fill="EAECEE"/>
            <w:tcMar>
              <w:top w:w="120" w:type="dxa"/>
              <w:bottom w:w="120" w:type="dxa"/>
              <w:left w:w="140" w:type="dxa"/>
              <w:right w:w="140" w:type="dxa"/>
            </w:tcMar>
          </w:tcPr>
          <w:p>
            <w:pPr>
              <w:jc w:val="center"/>
            </w:pPr>
            <w:r>
              <w:rPr>
                <w:rFonts w:ascii="Times New Roman" w:hAnsi="Times New Roman"/>
                <w:b/>
                <w:sz w:val="19"/>
              </w:rPr>
              <w:t>Context</w:t>
            </w:r>
          </w:p>
        </w:tc>
        <w:tc>
          <w:tcPr>
            <w:tcW w:type="dxa" w:w="1296"/>
            <w:shd w:fill="EAECEE"/>
            <w:tcMar>
              <w:top w:w="120" w:type="dxa"/>
              <w:bottom w:w="120" w:type="dxa"/>
              <w:left w:w="140" w:type="dxa"/>
              <w:right w:w="140" w:type="dxa"/>
            </w:tcMar>
          </w:tcPr>
          <w:p>
            <w:pPr>
              <w:jc w:val="center"/>
            </w:pPr>
            <w:r>
              <w:rPr>
                <w:rFonts w:ascii="Times New Roman" w:hAnsi="Times New Roman"/>
                <w:b/>
                <w:sz w:val="19"/>
              </w:rPr>
              <w:t>S1 / S2</w:t>
            </w:r>
          </w:p>
        </w:tc>
        <w:tc>
          <w:tcPr>
            <w:tcW w:type="dxa" w:w="1152"/>
            <w:shd w:fill="EAECEE"/>
            <w:tcMar>
              <w:top w:w="120" w:type="dxa"/>
              <w:bottom w:w="120" w:type="dxa"/>
              <w:left w:w="140" w:type="dxa"/>
              <w:right w:w="140" w:type="dxa"/>
            </w:tcMar>
          </w:tcPr>
          <w:p>
            <w:pPr>
              <w:jc w:val="center"/>
            </w:pPr>
            <w:r>
              <w:rPr>
                <w:rFonts w:ascii="Times New Roman" w:hAnsi="Times New Roman"/>
                <w:b/>
                <w:sz w:val="19"/>
              </w:rPr>
              <w:t>Noise Red.</w:t>
            </w:r>
          </w:p>
        </w:tc>
        <w:tc>
          <w:tcPr>
            <w:tcW w:type="dxa" w:w="1008"/>
            <w:shd w:fill="EAECEE"/>
            <w:tcMar>
              <w:top w:w="120" w:type="dxa"/>
              <w:bottom w:w="120" w:type="dxa"/>
              <w:left w:w="140" w:type="dxa"/>
              <w:right w:w="140" w:type="dxa"/>
            </w:tcMar>
          </w:tcPr>
          <w:p>
            <w:pPr>
              <w:jc w:val="center"/>
            </w:pPr>
            <w:r>
              <w:rPr>
                <w:rFonts w:ascii="Times New Roman" w:hAnsi="Times New Roman"/>
                <w:b/>
                <w:sz w:val="19"/>
              </w:rPr>
              <w:t>AST Div</w:t>
            </w:r>
          </w:p>
        </w:tc>
        <w:tc>
          <w:tcPr>
            <w:tcW w:type="dxa" w:w="1008"/>
            <w:shd w:fill="EAECEE"/>
            <w:tcMar>
              <w:top w:w="120" w:type="dxa"/>
              <w:bottom w:w="120" w:type="dxa"/>
              <w:left w:w="140" w:type="dxa"/>
              <w:right w:w="140" w:type="dxa"/>
            </w:tcMar>
          </w:tcPr>
          <w:p>
            <w:pPr>
              <w:jc w:val="center"/>
            </w:pPr>
            <w:r>
              <w:rPr>
                <w:rFonts w:ascii="Times New Roman" w:hAnsi="Times New Roman"/>
                <w:b/>
                <w:sz w:val="19"/>
              </w:rPr>
              <w:t>Cache %</w:t>
            </w:r>
          </w:p>
        </w:tc>
        <w:tc>
          <w:tcPr>
            <w:tcW w:type="dxa" w:w="1872"/>
            <w:shd w:fill="EAECEE"/>
            <w:tcMar>
              <w:top w:w="120" w:type="dxa"/>
              <w:bottom w:w="120" w:type="dxa"/>
              <w:left w:w="140" w:type="dxa"/>
              <w:right w:w="140" w:type="dxa"/>
            </w:tcMar>
          </w:tcPr>
          <w:p>
            <w:pPr>
              <w:jc w:val="center"/>
            </w:pPr>
            <w:r>
              <w:rPr>
                <w:rFonts w:ascii="Times New Roman" w:hAnsi="Times New Roman"/>
                <w:b/>
                <w:sz w:val="19"/>
              </w:rPr>
              <w:t>Architectural Feature</w:t>
            </w:r>
          </w:p>
        </w:tc>
      </w:tr>
      <w:tr>
        <w:tc>
          <w:tcPr>
            <w:tcW w:type="dxa" w:w="2016"/>
            <w:shd w:fill="FFFFFF"/>
            <w:tcMar>
              <w:top w:w="100" w:type="dxa"/>
              <w:bottom w:w="100" w:type="dxa"/>
              <w:left w:w="120" w:type="dxa"/>
              <w:right w:w="120" w:type="dxa"/>
            </w:tcMar>
          </w:tcPr>
          <w:p>
            <w:pPr>
              <w:jc w:val="left"/>
            </w:pPr>
            <w:r>
              <w:rPr>
                <w:rFonts w:ascii="Times New Roman" w:hAnsi="Times New Roman"/>
                <w:sz w:val="18"/>
              </w:rPr>
              <w:t>DeepSeek V3 / R1 (671B)</w:t>
            </w:r>
          </w:p>
        </w:tc>
        <w:tc>
          <w:tcPr>
            <w:tcW w:type="dxa" w:w="1152"/>
            <w:shd w:fill="FFFFFF"/>
            <w:tcMar>
              <w:top w:w="100" w:type="dxa"/>
              <w:bottom w:w="100" w:type="dxa"/>
              <w:left w:w="120" w:type="dxa"/>
              <w:right w:w="120" w:type="dxa"/>
            </w:tcMar>
          </w:tcPr>
          <w:p>
            <w:pPr>
              <w:jc w:val="center"/>
            </w:pPr>
            <w:r>
              <w:rPr>
                <w:rFonts w:ascii="Times New Roman" w:hAnsi="Times New Roman"/>
                <w:sz w:val="18"/>
              </w:rPr>
              <w:t>128k tok</w:t>
            </w:r>
          </w:p>
        </w:tc>
        <w:tc>
          <w:tcPr>
            <w:tcW w:type="dxa" w:w="1296"/>
            <w:shd w:fill="FFFFFF"/>
            <w:tcMar>
              <w:top w:w="100" w:type="dxa"/>
              <w:bottom w:w="100" w:type="dxa"/>
              <w:left w:w="120" w:type="dxa"/>
              <w:right w:w="120" w:type="dxa"/>
            </w:tcMar>
          </w:tcPr>
          <w:p>
            <w:pPr>
              <w:jc w:val="center"/>
            </w:pPr>
            <w:r>
              <w:rPr>
                <w:rFonts w:ascii="Times New Roman" w:hAnsi="Times New Roman"/>
                <w:sz w:val="18"/>
              </w:rPr>
              <w:t>8.4s / 14.2s</w:t>
            </w:r>
          </w:p>
        </w:tc>
        <w:tc>
          <w:tcPr>
            <w:tcW w:type="dxa" w:w="1152"/>
            <w:shd w:fill="FFFFFF"/>
            <w:tcMar>
              <w:top w:w="100" w:type="dxa"/>
              <w:bottom w:w="100" w:type="dxa"/>
              <w:left w:w="120" w:type="dxa"/>
              <w:right w:w="120" w:type="dxa"/>
            </w:tcMar>
          </w:tcPr>
          <w:p>
            <w:pPr>
              <w:jc w:val="center"/>
            </w:pPr>
            <w:r>
              <w:rPr>
                <w:rFonts w:ascii="Times New Roman" w:hAnsi="Times New Roman"/>
                <w:b/>
                <w:sz w:val="18"/>
              </w:rPr>
              <w:t>78.4%</w:t>
            </w:r>
          </w:p>
        </w:tc>
        <w:tc>
          <w:tcPr>
            <w:tcW w:type="dxa" w:w="1008"/>
            <w:shd w:fill="FFFFFF"/>
            <w:tcMar>
              <w:top w:w="100" w:type="dxa"/>
              <w:bottom w:w="100" w:type="dxa"/>
              <w:left w:w="120" w:type="dxa"/>
              <w:right w:w="120" w:type="dxa"/>
            </w:tcMar>
          </w:tcPr>
          <w:p>
            <w:pPr>
              <w:jc w:val="center"/>
            </w:pPr>
            <w:r>
              <w:rPr>
                <w:rFonts w:ascii="Times New Roman" w:hAnsi="Times New Roman"/>
                <w:b/>
                <w:sz w:val="18"/>
              </w:rPr>
              <w:t>0.9850</w:t>
            </w:r>
          </w:p>
        </w:tc>
        <w:tc>
          <w:tcPr>
            <w:tcW w:type="dxa" w:w="1008"/>
            <w:shd w:fill="FFFFFF"/>
            <w:tcMar>
              <w:top w:w="100" w:type="dxa"/>
              <w:bottom w:w="100" w:type="dxa"/>
              <w:left w:w="120" w:type="dxa"/>
              <w:right w:w="120" w:type="dxa"/>
            </w:tcMar>
          </w:tcPr>
          <w:p>
            <w:pPr>
              <w:jc w:val="center"/>
            </w:pPr>
            <w:r>
              <w:rPr>
                <w:rFonts w:ascii="Times New Roman" w:hAnsi="Times New Roman"/>
                <w:sz w:val="18"/>
              </w:rPr>
              <w:t>68.0%</w:t>
            </w:r>
          </w:p>
        </w:tc>
        <w:tc>
          <w:tcPr>
            <w:tcW w:type="dxa" w:w="1872"/>
            <w:shd w:fill="FFFFFF"/>
            <w:tcMar>
              <w:top w:w="100" w:type="dxa"/>
              <w:bottom w:w="100" w:type="dxa"/>
              <w:left w:w="120" w:type="dxa"/>
              <w:right w:w="120" w:type="dxa"/>
            </w:tcMar>
          </w:tcPr>
          <w:p>
            <w:pPr>
              <w:jc w:val="center"/>
            </w:pPr>
            <w:r>
              <w:rPr>
                <w:rFonts w:ascii="Times New Roman" w:hAnsi="Times New Roman"/>
                <w:sz w:val="18"/>
              </w:rPr>
              <w:t>Reactive Signals &amp; Reducers</w:t>
            </w:r>
          </w:p>
        </w:tc>
      </w:tr>
      <w:tr>
        <w:tc>
          <w:tcPr>
            <w:tcW w:type="dxa" w:w="2016"/>
            <w:shd w:fill="F8F9F9"/>
            <w:tcMar>
              <w:top w:w="100" w:type="dxa"/>
              <w:bottom w:w="100" w:type="dxa"/>
              <w:left w:w="120" w:type="dxa"/>
              <w:right w:w="120" w:type="dxa"/>
            </w:tcMar>
          </w:tcPr>
          <w:p>
            <w:pPr>
              <w:jc w:val="left"/>
            </w:pPr>
            <w:r>
              <w:rPr>
                <w:rFonts w:ascii="Times New Roman" w:hAnsi="Times New Roman"/>
                <w:sz w:val="18"/>
              </w:rPr>
              <w:t>Claude 3.5 Sonnet</w:t>
            </w:r>
          </w:p>
        </w:tc>
        <w:tc>
          <w:tcPr>
            <w:tcW w:type="dxa" w:w="1152"/>
            <w:shd w:fill="F8F9F9"/>
            <w:tcMar>
              <w:top w:w="100" w:type="dxa"/>
              <w:bottom w:w="100" w:type="dxa"/>
              <w:left w:w="120" w:type="dxa"/>
              <w:right w:w="120" w:type="dxa"/>
            </w:tcMar>
          </w:tcPr>
          <w:p>
            <w:pPr>
              <w:jc w:val="center"/>
            </w:pPr>
            <w:r>
              <w:rPr>
                <w:rFonts w:ascii="Times New Roman" w:hAnsi="Times New Roman"/>
                <w:sz w:val="18"/>
              </w:rPr>
              <w:t>200k tok</w:t>
            </w:r>
          </w:p>
        </w:tc>
        <w:tc>
          <w:tcPr>
            <w:tcW w:type="dxa" w:w="1296"/>
            <w:shd w:fill="F8F9F9"/>
            <w:tcMar>
              <w:top w:w="100" w:type="dxa"/>
              <w:bottom w:w="100" w:type="dxa"/>
              <w:left w:w="120" w:type="dxa"/>
              <w:right w:w="120" w:type="dxa"/>
            </w:tcMar>
          </w:tcPr>
          <w:p>
            <w:pPr>
              <w:jc w:val="center"/>
            </w:pPr>
            <w:r>
              <w:rPr>
                <w:rFonts w:ascii="Times New Roman" w:hAnsi="Times New Roman"/>
                <w:sz w:val="18"/>
              </w:rPr>
              <w:t>5.2s / 11.6s</w:t>
            </w:r>
          </w:p>
        </w:tc>
        <w:tc>
          <w:tcPr>
            <w:tcW w:type="dxa" w:w="1152"/>
            <w:shd w:fill="F8F9F9"/>
            <w:tcMar>
              <w:top w:w="100" w:type="dxa"/>
              <w:bottom w:w="100" w:type="dxa"/>
              <w:left w:w="120" w:type="dxa"/>
              <w:right w:w="120" w:type="dxa"/>
            </w:tcMar>
          </w:tcPr>
          <w:p>
            <w:pPr>
              <w:jc w:val="center"/>
            </w:pPr>
            <w:r>
              <w:rPr>
                <w:rFonts w:ascii="Times New Roman" w:hAnsi="Times New Roman"/>
                <w:b/>
                <w:sz w:val="18"/>
              </w:rPr>
              <w:t>84.1%</w:t>
            </w:r>
          </w:p>
        </w:tc>
        <w:tc>
          <w:tcPr>
            <w:tcW w:type="dxa" w:w="1008"/>
            <w:shd w:fill="F8F9F9"/>
            <w:tcMar>
              <w:top w:w="100" w:type="dxa"/>
              <w:bottom w:w="100" w:type="dxa"/>
              <w:left w:w="120" w:type="dxa"/>
              <w:right w:w="120" w:type="dxa"/>
            </w:tcMar>
          </w:tcPr>
          <w:p>
            <w:pPr>
              <w:jc w:val="center"/>
            </w:pPr>
            <w:r>
              <w:rPr>
                <w:rFonts w:ascii="Times New Roman" w:hAnsi="Times New Roman"/>
                <w:b/>
                <w:sz w:val="18"/>
              </w:rPr>
              <w:t>1.0000</w:t>
            </w:r>
          </w:p>
        </w:tc>
        <w:tc>
          <w:tcPr>
            <w:tcW w:type="dxa" w:w="1008"/>
            <w:shd w:fill="F8F9F9"/>
            <w:tcMar>
              <w:top w:w="100" w:type="dxa"/>
              <w:bottom w:w="100" w:type="dxa"/>
              <w:left w:w="120" w:type="dxa"/>
              <w:right w:w="120" w:type="dxa"/>
            </w:tcMar>
          </w:tcPr>
          <w:p>
            <w:pPr>
              <w:jc w:val="center"/>
            </w:pPr>
            <w:r>
              <w:rPr>
                <w:rFonts w:ascii="Times New Roman" w:hAnsi="Times New Roman"/>
                <w:sz w:val="18"/>
              </w:rPr>
              <w:t>74.5%</w:t>
            </w:r>
          </w:p>
        </w:tc>
        <w:tc>
          <w:tcPr>
            <w:tcW w:type="dxa" w:w="1872"/>
            <w:shd w:fill="F8F9F9"/>
            <w:tcMar>
              <w:top w:w="100" w:type="dxa"/>
              <w:bottom w:w="100" w:type="dxa"/>
              <w:left w:w="120" w:type="dxa"/>
              <w:right w:w="120" w:type="dxa"/>
            </w:tcMar>
          </w:tcPr>
          <w:p>
            <w:pPr>
              <w:jc w:val="center"/>
            </w:pPr>
            <w:r>
              <w:rPr>
                <w:rFonts w:ascii="Times New Roman" w:hAnsi="Times New Roman"/>
                <w:sz w:val="18"/>
              </w:rPr>
              <w:t>CSS Subgrid &amp; Design Tokens</w:t>
            </w:r>
          </w:p>
        </w:tc>
      </w:tr>
      <w:tr>
        <w:tc>
          <w:tcPr>
            <w:tcW w:type="dxa" w:w="2016"/>
            <w:shd w:fill="FFFFFF"/>
            <w:tcMar>
              <w:top w:w="100" w:type="dxa"/>
              <w:bottom w:w="100" w:type="dxa"/>
              <w:left w:w="120" w:type="dxa"/>
              <w:right w:w="120" w:type="dxa"/>
            </w:tcMar>
          </w:tcPr>
          <w:p>
            <w:pPr>
              <w:jc w:val="left"/>
            </w:pPr>
            <w:r>
              <w:rPr>
                <w:rFonts w:ascii="Times New Roman" w:hAnsi="Times New Roman"/>
                <w:sz w:val="18"/>
              </w:rPr>
              <w:t>OpenAI GPT-4o</w:t>
            </w:r>
          </w:p>
        </w:tc>
        <w:tc>
          <w:tcPr>
            <w:tcW w:type="dxa" w:w="1152"/>
            <w:shd w:fill="FFFFFF"/>
            <w:tcMar>
              <w:top w:w="100" w:type="dxa"/>
              <w:bottom w:w="100" w:type="dxa"/>
              <w:left w:w="120" w:type="dxa"/>
              <w:right w:w="120" w:type="dxa"/>
            </w:tcMar>
          </w:tcPr>
          <w:p>
            <w:pPr>
              <w:jc w:val="center"/>
            </w:pPr>
            <w:r>
              <w:rPr>
                <w:rFonts w:ascii="Times New Roman" w:hAnsi="Times New Roman"/>
                <w:sz w:val="18"/>
              </w:rPr>
              <w:t>128k tok</w:t>
            </w:r>
          </w:p>
        </w:tc>
        <w:tc>
          <w:tcPr>
            <w:tcW w:type="dxa" w:w="1296"/>
            <w:shd w:fill="FFFFFF"/>
            <w:tcMar>
              <w:top w:w="100" w:type="dxa"/>
              <w:bottom w:w="100" w:type="dxa"/>
              <w:left w:w="120" w:type="dxa"/>
              <w:right w:w="120" w:type="dxa"/>
            </w:tcMar>
          </w:tcPr>
          <w:p>
            <w:pPr>
              <w:jc w:val="center"/>
            </w:pPr>
            <w:r>
              <w:rPr>
                <w:rFonts w:ascii="Times New Roman" w:hAnsi="Times New Roman"/>
                <w:sz w:val="18"/>
              </w:rPr>
              <w:t>6.1s / 12.3s</w:t>
            </w:r>
          </w:p>
        </w:tc>
        <w:tc>
          <w:tcPr>
            <w:tcW w:type="dxa" w:w="1152"/>
            <w:shd w:fill="FFFFFF"/>
            <w:tcMar>
              <w:top w:w="100" w:type="dxa"/>
              <w:bottom w:w="100" w:type="dxa"/>
              <w:left w:w="120" w:type="dxa"/>
              <w:right w:w="120" w:type="dxa"/>
            </w:tcMar>
          </w:tcPr>
          <w:p>
            <w:pPr>
              <w:jc w:val="center"/>
            </w:pPr>
            <w:r>
              <w:rPr>
                <w:rFonts w:ascii="Times New Roman" w:hAnsi="Times New Roman"/>
                <w:b/>
                <w:sz w:val="18"/>
              </w:rPr>
              <w:t>76.5%</w:t>
            </w:r>
          </w:p>
        </w:tc>
        <w:tc>
          <w:tcPr>
            <w:tcW w:type="dxa" w:w="1008"/>
            <w:shd w:fill="FFFFFF"/>
            <w:tcMar>
              <w:top w:w="100" w:type="dxa"/>
              <w:bottom w:w="100" w:type="dxa"/>
              <w:left w:w="120" w:type="dxa"/>
              <w:right w:w="120" w:type="dxa"/>
            </w:tcMar>
          </w:tcPr>
          <w:p>
            <w:pPr>
              <w:jc w:val="center"/>
            </w:pPr>
            <w:r>
              <w:rPr>
                <w:rFonts w:ascii="Times New Roman" w:hAnsi="Times New Roman"/>
                <w:b/>
                <w:sz w:val="18"/>
              </w:rPr>
              <w:t>0.9620</w:t>
            </w:r>
          </w:p>
        </w:tc>
        <w:tc>
          <w:tcPr>
            <w:tcW w:type="dxa" w:w="1008"/>
            <w:shd w:fill="FFFFFF"/>
            <w:tcMar>
              <w:top w:w="100" w:type="dxa"/>
              <w:bottom w:w="100" w:type="dxa"/>
              <w:left w:w="120" w:type="dxa"/>
              <w:right w:w="120" w:type="dxa"/>
            </w:tcMar>
          </w:tcPr>
          <w:p>
            <w:pPr>
              <w:jc w:val="center"/>
            </w:pPr>
            <w:r>
              <w:rPr>
                <w:rFonts w:ascii="Times New Roman" w:hAnsi="Times New Roman"/>
                <w:sz w:val="18"/>
              </w:rPr>
              <w:t>62.0%</w:t>
            </w:r>
          </w:p>
        </w:tc>
        <w:tc>
          <w:tcPr>
            <w:tcW w:type="dxa" w:w="1872"/>
            <w:shd w:fill="FFFFFF"/>
            <w:tcMar>
              <w:top w:w="100" w:type="dxa"/>
              <w:bottom w:w="100" w:type="dxa"/>
              <w:left w:w="120" w:type="dxa"/>
              <w:right w:w="120" w:type="dxa"/>
            </w:tcMar>
          </w:tcPr>
          <w:p>
            <w:pPr>
              <w:jc w:val="center"/>
            </w:pPr>
            <w:r>
              <w:rPr>
                <w:rFonts w:ascii="Times New Roman" w:hAnsi="Times New Roman"/>
                <w:sz w:val="18"/>
              </w:rPr>
              <w:t>TS Strict Discriminated Unions</w:t>
            </w:r>
          </w:p>
        </w:tc>
      </w:tr>
      <w:tr>
        <w:tc>
          <w:tcPr>
            <w:tcW w:type="dxa" w:w="2016"/>
            <w:shd w:fill="F8F9F9"/>
            <w:tcMar>
              <w:top w:w="100" w:type="dxa"/>
              <w:bottom w:w="100" w:type="dxa"/>
              <w:left w:w="120" w:type="dxa"/>
              <w:right w:w="120" w:type="dxa"/>
            </w:tcMar>
          </w:tcPr>
          <w:p>
            <w:pPr>
              <w:jc w:val="left"/>
            </w:pPr>
            <w:r>
              <w:rPr>
                <w:rFonts w:ascii="Times New Roman" w:hAnsi="Times New Roman"/>
                <w:sz w:val="18"/>
              </w:rPr>
              <w:t>Llama 3.3 70B Instruct</w:t>
            </w:r>
          </w:p>
        </w:tc>
        <w:tc>
          <w:tcPr>
            <w:tcW w:type="dxa" w:w="1152"/>
            <w:shd w:fill="F8F9F9"/>
            <w:tcMar>
              <w:top w:w="100" w:type="dxa"/>
              <w:bottom w:w="100" w:type="dxa"/>
              <w:left w:w="120" w:type="dxa"/>
              <w:right w:w="120" w:type="dxa"/>
            </w:tcMar>
          </w:tcPr>
          <w:p>
            <w:pPr>
              <w:jc w:val="center"/>
            </w:pPr>
            <w:r>
              <w:rPr>
                <w:rFonts w:ascii="Times New Roman" w:hAnsi="Times New Roman"/>
                <w:sz w:val="18"/>
              </w:rPr>
              <w:t>128k tok</w:t>
            </w:r>
          </w:p>
        </w:tc>
        <w:tc>
          <w:tcPr>
            <w:tcW w:type="dxa" w:w="1296"/>
            <w:shd w:fill="F8F9F9"/>
            <w:tcMar>
              <w:top w:w="100" w:type="dxa"/>
              <w:bottom w:w="100" w:type="dxa"/>
              <w:left w:w="120" w:type="dxa"/>
              <w:right w:w="120" w:type="dxa"/>
            </w:tcMar>
          </w:tcPr>
          <w:p>
            <w:pPr>
              <w:jc w:val="center"/>
            </w:pPr>
            <w:r>
              <w:rPr>
                <w:rFonts w:ascii="Times New Roman" w:hAnsi="Times New Roman"/>
                <w:sz w:val="18"/>
              </w:rPr>
              <w:t>7.8s / 16.4s</w:t>
            </w:r>
          </w:p>
        </w:tc>
        <w:tc>
          <w:tcPr>
            <w:tcW w:type="dxa" w:w="1152"/>
            <w:shd w:fill="F8F9F9"/>
            <w:tcMar>
              <w:top w:w="100" w:type="dxa"/>
              <w:bottom w:w="100" w:type="dxa"/>
              <w:left w:w="120" w:type="dxa"/>
              <w:right w:w="120" w:type="dxa"/>
            </w:tcMar>
          </w:tcPr>
          <w:p>
            <w:pPr>
              <w:jc w:val="center"/>
            </w:pPr>
            <w:r>
              <w:rPr>
                <w:rFonts w:ascii="Times New Roman" w:hAnsi="Times New Roman"/>
                <w:b/>
                <w:sz w:val="18"/>
              </w:rPr>
              <w:t>69.2%</w:t>
            </w:r>
          </w:p>
        </w:tc>
        <w:tc>
          <w:tcPr>
            <w:tcW w:type="dxa" w:w="1008"/>
            <w:shd w:fill="F8F9F9"/>
            <w:tcMar>
              <w:top w:w="100" w:type="dxa"/>
              <w:bottom w:w="100" w:type="dxa"/>
              <w:left w:w="120" w:type="dxa"/>
              <w:right w:w="120" w:type="dxa"/>
            </w:tcMar>
          </w:tcPr>
          <w:p>
            <w:pPr>
              <w:jc w:val="center"/>
            </w:pPr>
            <w:r>
              <w:rPr>
                <w:rFonts w:ascii="Times New Roman" w:hAnsi="Times New Roman"/>
                <w:b/>
                <w:sz w:val="18"/>
              </w:rPr>
              <w:t>0.9480</w:t>
            </w:r>
          </w:p>
        </w:tc>
        <w:tc>
          <w:tcPr>
            <w:tcW w:type="dxa" w:w="1008"/>
            <w:shd w:fill="F8F9F9"/>
            <w:tcMar>
              <w:top w:w="100" w:type="dxa"/>
              <w:bottom w:w="100" w:type="dxa"/>
              <w:left w:w="120" w:type="dxa"/>
              <w:right w:w="120" w:type="dxa"/>
            </w:tcMar>
          </w:tcPr>
          <w:p>
            <w:pPr>
              <w:jc w:val="center"/>
            </w:pPr>
            <w:r>
              <w:rPr>
                <w:rFonts w:ascii="Times New Roman" w:hAnsi="Times New Roman"/>
                <w:sz w:val="18"/>
              </w:rPr>
              <w:t>55.0%</w:t>
            </w:r>
          </w:p>
        </w:tc>
        <w:tc>
          <w:tcPr>
            <w:tcW w:type="dxa" w:w="1872"/>
            <w:shd w:fill="F8F9F9"/>
            <w:tcMar>
              <w:top w:w="100" w:type="dxa"/>
              <w:bottom w:w="100" w:type="dxa"/>
              <w:left w:w="120" w:type="dxa"/>
              <w:right w:w="120" w:type="dxa"/>
            </w:tcMar>
          </w:tcPr>
          <w:p>
            <w:pPr>
              <w:jc w:val="center"/>
            </w:pPr>
            <w:r>
              <w:rPr>
                <w:rFonts w:ascii="Times New Roman" w:hAnsi="Times New Roman"/>
                <w:sz w:val="18"/>
              </w:rPr>
              <w:t>Decoupled Service Layers</w:t>
            </w:r>
          </w:p>
        </w:tc>
      </w:tr>
      <w:tr>
        <w:tc>
          <w:tcPr>
            <w:tcW w:type="dxa" w:w="2016"/>
            <w:shd w:fill="FFFFFF"/>
            <w:tcMar>
              <w:top w:w="100" w:type="dxa"/>
              <w:bottom w:w="100" w:type="dxa"/>
              <w:left w:w="120" w:type="dxa"/>
              <w:right w:w="120" w:type="dxa"/>
            </w:tcMar>
          </w:tcPr>
          <w:p>
            <w:pPr>
              <w:jc w:val="left"/>
            </w:pPr>
            <w:r>
              <w:rPr>
                <w:rFonts w:ascii="Times New Roman" w:hAnsi="Times New Roman"/>
                <w:sz w:val="18"/>
              </w:rPr>
              <w:t>Nemotron 550B Ultra</w:t>
            </w:r>
          </w:p>
        </w:tc>
        <w:tc>
          <w:tcPr>
            <w:tcW w:type="dxa" w:w="1152"/>
            <w:shd w:fill="FFFFFF"/>
            <w:tcMar>
              <w:top w:w="100" w:type="dxa"/>
              <w:bottom w:w="100" w:type="dxa"/>
              <w:left w:w="120" w:type="dxa"/>
              <w:right w:w="120" w:type="dxa"/>
            </w:tcMar>
          </w:tcPr>
          <w:p>
            <w:pPr>
              <w:jc w:val="center"/>
            </w:pPr>
            <w:r>
              <w:rPr>
                <w:rFonts w:ascii="Times New Roman" w:hAnsi="Times New Roman"/>
                <w:sz w:val="18"/>
              </w:rPr>
              <w:t>1000k tok</w:t>
            </w:r>
          </w:p>
        </w:tc>
        <w:tc>
          <w:tcPr>
            <w:tcW w:type="dxa" w:w="1296"/>
            <w:shd w:fill="FFFFFF"/>
            <w:tcMar>
              <w:top w:w="100" w:type="dxa"/>
              <w:bottom w:w="100" w:type="dxa"/>
              <w:left w:w="120" w:type="dxa"/>
              <w:right w:w="120" w:type="dxa"/>
            </w:tcMar>
          </w:tcPr>
          <w:p>
            <w:pPr>
              <w:jc w:val="center"/>
            </w:pPr>
            <w:r>
              <w:rPr>
                <w:rFonts w:ascii="Times New Roman" w:hAnsi="Times New Roman"/>
                <w:sz w:val="18"/>
              </w:rPr>
              <w:t>28.1s / 25.4s</w:t>
            </w:r>
          </w:p>
        </w:tc>
        <w:tc>
          <w:tcPr>
            <w:tcW w:type="dxa" w:w="1152"/>
            <w:shd w:fill="FFFFFF"/>
            <w:tcMar>
              <w:top w:w="100" w:type="dxa"/>
              <w:bottom w:w="100" w:type="dxa"/>
              <w:left w:w="120" w:type="dxa"/>
              <w:right w:w="120" w:type="dxa"/>
            </w:tcMar>
          </w:tcPr>
          <w:p>
            <w:pPr>
              <w:jc w:val="center"/>
            </w:pPr>
            <w:r>
              <w:rPr>
                <w:rFonts w:ascii="Times New Roman" w:hAnsi="Times New Roman"/>
                <w:b/>
                <w:sz w:val="18"/>
              </w:rPr>
              <w:t>40.3%</w:t>
            </w:r>
          </w:p>
        </w:tc>
        <w:tc>
          <w:tcPr>
            <w:tcW w:type="dxa" w:w="1008"/>
            <w:shd w:fill="FFFFFF"/>
            <w:tcMar>
              <w:top w:w="100" w:type="dxa"/>
              <w:bottom w:w="100" w:type="dxa"/>
              <w:left w:w="120" w:type="dxa"/>
              <w:right w:w="120" w:type="dxa"/>
            </w:tcMar>
          </w:tcPr>
          <w:p>
            <w:pPr>
              <w:jc w:val="center"/>
            </w:pPr>
            <w:r>
              <w:rPr>
                <w:rFonts w:ascii="Times New Roman" w:hAnsi="Times New Roman"/>
                <w:b/>
                <w:sz w:val="18"/>
              </w:rPr>
              <w:t>1.0000</w:t>
            </w:r>
          </w:p>
        </w:tc>
        <w:tc>
          <w:tcPr>
            <w:tcW w:type="dxa" w:w="1008"/>
            <w:shd w:fill="FFFFFF"/>
            <w:tcMar>
              <w:top w:w="100" w:type="dxa"/>
              <w:bottom w:w="100" w:type="dxa"/>
              <w:left w:w="120" w:type="dxa"/>
              <w:right w:w="120" w:type="dxa"/>
            </w:tcMar>
          </w:tcPr>
          <w:p>
            <w:pPr>
              <w:jc w:val="center"/>
            </w:pPr>
            <w:r>
              <w:rPr>
                <w:rFonts w:ascii="Times New Roman" w:hAnsi="Times New Roman"/>
                <w:sz w:val="18"/>
              </w:rPr>
              <w:t>45.0%</w:t>
            </w:r>
          </w:p>
        </w:tc>
        <w:tc>
          <w:tcPr>
            <w:tcW w:type="dxa" w:w="1872"/>
            <w:shd w:fill="FFFFFF"/>
            <w:tcMar>
              <w:top w:w="100" w:type="dxa"/>
              <w:bottom w:w="100" w:type="dxa"/>
              <w:left w:w="120" w:type="dxa"/>
              <w:right w:w="120" w:type="dxa"/>
            </w:tcMar>
          </w:tcPr>
          <w:p>
            <w:pPr>
              <w:jc w:val="center"/>
            </w:pPr>
            <w:r>
              <w:rPr>
                <w:rFonts w:ascii="Times New Roman" w:hAnsi="Times New Roman"/>
                <w:sz w:val="18"/>
              </w:rPr>
              <w:t>Web Components &amp; Shaders</w:t>
            </w:r>
          </w:p>
        </w:tc>
      </w:tr>
      <w:tr>
        <w:tc>
          <w:tcPr>
            <w:tcW w:type="dxa" w:w="2016"/>
            <w:shd w:fill="F8F9F9"/>
            <w:tcMar>
              <w:top w:w="100" w:type="dxa"/>
              <w:bottom w:w="100" w:type="dxa"/>
              <w:left w:w="120" w:type="dxa"/>
              <w:right w:w="120" w:type="dxa"/>
            </w:tcMar>
          </w:tcPr>
          <w:p>
            <w:pPr>
              <w:jc w:val="left"/>
            </w:pPr>
            <w:r>
              <w:rPr>
                <w:rFonts w:ascii="Times New Roman" w:hAnsi="Times New Roman"/>
                <w:sz w:val="18"/>
              </w:rPr>
              <w:t>Nemotron 120B MoE</w:t>
            </w:r>
          </w:p>
        </w:tc>
        <w:tc>
          <w:tcPr>
            <w:tcW w:type="dxa" w:w="1152"/>
            <w:shd w:fill="F8F9F9"/>
            <w:tcMar>
              <w:top w:w="100" w:type="dxa"/>
              <w:bottom w:w="100" w:type="dxa"/>
              <w:left w:w="120" w:type="dxa"/>
              <w:right w:w="120" w:type="dxa"/>
            </w:tcMar>
          </w:tcPr>
          <w:p>
            <w:pPr>
              <w:jc w:val="center"/>
            </w:pPr>
            <w:r>
              <w:rPr>
                <w:rFonts w:ascii="Times New Roman" w:hAnsi="Times New Roman"/>
                <w:sz w:val="18"/>
              </w:rPr>
              <w:t>128k tok</w:t>
            </w:r>
          </w:p>
        </w:tc>
        <w:tc>
          <w:tcPr>
            <w:tcW w:type="dxa" w:w="1296"/>
            <w:shd w:fill="F8F9F9"/>
            <w:tcMar>
              <w:top w:w="100" w:type="dxa"/>
              <w:bottom w:w="100" w:type="dxa"/>
              <w:left w:w="120" w:type="dxa"/>
              <w:right w:w="120" w:type="dxa"/>
            </w:tcMar>
          </w:tcPr>
          <w:p>
            <w:pPr>
              <w:jc w:val="center"/>
            </w:pPr>
            <w:r>
              <w:rPr>
                <w:rFonts w:ascii="Times New Roman" w:hAnsi="Times New Roman"/>
                <w:sz w:val="18"/>
              </w:rPr>
              <w:t>27.1s / 16.0s</w:t>
            </w:r>
          </w:p>
        </w:tc>
        <w:tc>
          <w:tcPr>
            <w:tcW w:type="dxa" w:w="1152"/>
            <w:shd w:fill="F8F9F9"/>
            <w:tcMar>
              <w:top w:w="100" w:type="dxa"/>
              <w:bottom w:w="100" w:type="dxa"/>
              <w:left w:w="120" w:type="dxa"/>
              <w:right w:w="120" w:type="dxa"/>
            </w:tcMar>
          </w:tcPr>
          <w:p>
            <w:pPr>
              <w:jc w:val="center"/>
            </w:pPr>
            <w:r>
              <w:rPr>
                <w:rFonts w:ascii="Times New Roman" w:hAnsi="Times New Roman"/>
                <w:b/>
                <w:sz w:val="18"/>
              </w:rPr>
              <w:t>72.7%</w:t>
            </w:r>
          </w:p>
        </w:tc>
        <w:tc>
          <w:tcPr>
            <w:tcW w:type="dxa" w:w="1008"/>
            <w:shd w:fill="F8F9F9"/>
            <w:tcMar>
              <w:top w:w="100" w:type="dxa"/>
              <w:bottom w:w="100" w:type="dxa"/>
              <w:left w:w="120" w:type="dxa"/>
              <w:right w:w="120" w:type="dxa"/>
            </w:tcMar>
          </w:tcPr>
          <w:p>
            <w:pPr>
              <w:jc w:val="center"/>
            </w:pPr>
            <w:r>
              <w:rPr>
                <w:rFonts w:ascii="Times New Roman" w:hAnsi="Times New Roman"/>
                <w:b/>
                <w:sz w:val="18"/>
              </w:rPr>
              <w:t>0.8500</w:t>
            </w:r>
          </w:p>
        </w:tc>
        <w:tc>
          <w:tcPr>
            <w:tcW w:type="dxa" w:w="1008"/>
            <w:shd w:fill="F8F9F9"/>
            <w:tcMar>
              <w:top w:w="100" w:type="dxa"/>
              <w:bottom w:w="100" w:type="dxa"/>
              <w:left w:w="120" w:type="dxa"/>
              <w:right w:w="120" w:type="dxa"/>
            </w:tcMar>
          </w:tcPr>
          <w:p>
            <w:pPr>
              <w:jc w:val="center"/>
            </w:pPr>
            <w:r>
              <w:rPr>
                <w:rFonts w:ascii="Times New Roman" w:hAnsi="Times New Roman"/>
                <w:sz w:val="18"/>
              </w:rPr>
              <w:t>58.0%</w:t>
            </w:r>
          </w:p>
        </w:tc>
        <w:tc>
          <w:tcPr>
            <w:tcW w:type="dxa" w:w="1872"/>
            <w:shd w:fill="F8F9F9"/>
            <w:tcMar>
              <w:top w:w="100" w:type="dxa"/>
              <w:bottom w:w="100" w:type="dxa"/>
              <w:left w:w="120" w:type="dxa"/>
              <w:right w:w="120" w:type="dxa"/>
            </w:tcMar>
          </w:tcPr>
          <w:p>
            <w:pPr>
              <w:jc w:val="center"/>
            </w:pPr>
            <w:r>
              <w:rPr>
                <w:rFonts w:ascii="Times New Roman" w:hAnsi="Times New Roman"/>
                <w:sz w:val="18"/>
              </w:rPr>
              <w:t>Monolith Modular Extraction</w:t>
            </w:r>
          </w:p>
        </w:tc>
      </w:tr>
      <w:tr>
        <w:tc>
          <w:tcPr>
            <w:tcW w:type="dxa" w:w="2016"/>
            <w:shd w:fill="FFFFFF"/>
            <w:tcMar>
              <w:top w:w="100" w:type="dxa"/>
              <w:bottom w:w="100" w:type="dxa"/>
              <w:left w:w="120" w:type="dxa"/>
              <w:right w:w="120" w:type="dxa"/>
            </w:tcMar>
          </w:tcPr>
          <w:p>
            <w:pPr>
              <w:jc w:val="left"/>
            </w:pPr>
            <w:r>
              <w:rPr>
                <w:rFonts w:ascii="Times New Roman" w:hAnsi="Times New Roman"/>
                <w:sz w:val="18"/>
              </w:rPr>
              <w:t>Z-AI GLM 5.2 Flagship</w:t>
            </w:r>
          </w:p>
        </w:tc>
        <w:tc>
          <w:tcPr>
            <w:tcW w:type="dxa" w:w="1152"/>
            <w:shd w:fill="FFFFFF"/>
            <w:tcMar>
              <w:top w:w="100" w:type="dxa"/>
              <w:bottom w:w="100" w:type="dxa"/>
              <w:left w:w="120" w:type="dxa"/>
              <w:right w:w="120" w:type="dxa"/>
            </w:tcMar>
          </w:tcPr>
          <w:p>
            <w:pPr>
              <w:jc w:val="center"/>
            </w:pPr>
            <w:r>
              <w:rPr>
                <w:rFonts w:ascii="Times New Roman" w:hAnsi="Times New Roman"/>
                <w:sz w:val="18"/>
              </w:rPr>
              <w:t>128k tok</w:t>
            </w:r>
          </w:p>
        </w:tc>
        <w:tc>
          <w:tcPr>
            <w:tcW w:type="dxa" w:w="1296"/>
            <w:shd w:fill="FFFFFF"/>
            <w:tcMar>
              <w:top w:w="100" w:type="dxa"/>
              <w:bottom w:w="100" w:type="dxa"/>
              <w:left w:w="120" w:type="dxa"/>
              <w:right w:w="120" w:type="dxa"/>
            </w:tcMar>
          </w:tcPr>
          <w:p>
            <w:pPr>
              <w:jc w:val="center"/>
            </w:pPr>
            <w:r>
              <w:rPr>
                <w:rFonts w:ascii="Times New Roman" w:hAnsi="Times New Roman"/>
                <w:sz w:val="18"/>
              </w:rPr>
              <w:t>14.2s / 17.9s</w:t>
            </w:r>
          </w:p>
        </w:tc>
        <w:tc>
          <w:tcPr>
            <w:tcW w:type="dxa" w:w="1152"/>
            <w:shd w:fill="FFFFFF"/>
            <w:tcMar>
              <w:top w:w="100" w:type="dxa"/>
              <w:bottom w:w="100" w:type="dxa"/>
              <w:left w:w="120" w:type="dxa"/>
              <w:right w:w="120" w:type="dxa"/>
            </w:tcMar>
          </w:tcPr>
          <w:p>
            <w:pPr>
              <w:jc w:val="center"/>
            </w:pPr>
            <w:r>
              <w:rPr>
                <w:rFonts w:ascii="Times New Roman" w:hAnsi="Times New Roman"/>
                <w:b/>
                <w:sz w:val="18"/>
              </w:rPr>
              <w:t>48.5%</w:t>
            </w:r>
          </w:p>
        </w:tc>
        <w:tc>
          <w:tcPr>
            <w:tcW w:type="dxa" w:w="1008"/>
            <w:shd w:fill="FFFFFF"/>
            <w:tcMar>
              <w:top w:w="100" w:type="dxa"/>
              <w:bottom w:w="100" w:type="dxa"/>
              <w:left w:w="120" w:type="dxa"/>
              <w:right w:w="120" w:type="dxa"/>
            </w:tcMar>
          </w:tcPr>
          <w:p>
            <w:pPr>
              <w:jc w:val="center"/>
            </w:pPr>
            <w:r>
              <w:rPr>
                <w:rFonts w:ascii="Times New Roman" w:hAnsi="Times New Roman"/>
                <w:b/>
                <w:sz w:val="18"/>
              </w:rPr>
              <w:t>1.0000</w:t>
            </w:r>
          </w:p>
        </w:tc>
        <w:tc>
          <w:tcPr>
            <w:tcW w:type="dxa" w:w="1008"/>
            <w:shd w:fill="FFFFFF"/>
            <w:tcMar>
              <w:top w:w="100" w:type="dxa"/>
              <w:bottom w:w="100" w:type="dxa"/>
              <w:left w:w="120" w:type="dxa"/>
              <w:right w:w="120" w:type="dxa"/>
            </w:tcMar>
          </w:tcPr>
          <w:p>
            <w:pPr>
              <w:jc w:val="center"/>
            </w:pPr>
            <w:r>
              <w:rPr>
                <w:rFonts w:ascii="Times New Roman" w:hAnsi="Times New Roman"/>
                <w:sz w:val="18"/>
              </w:rPr>
              <w:t>52.0%</w:t>
            </w:r>
          </w:p>
        </w:tc>
        <w:tc>
          <w:tcPr>
            <w:tcW w:type="dxa" w:w="1872"/>
            <w:shd w:fill="FFFFFF"/>
            <w:tcMar>
              <w:top w:w="100" w:type="dxa"/>
              <w:bottom w:w="100" w:type="dxa"/>
              <w:left w:w="120" w:type="dxa"/>
              <w:right w:w="120" w:type="dxa"/>
            </w:tcMar>
          </w:tcPr>
          <w:p>
            <w:pPr>
              <w:jc w:val="center"/>
            </w:pPr>
            <w:r>
              <w:rPr>
                <w:rFonts w:ascii="Times New Roman" w:hAnsi="Times New Roman"/>
                <w:sz w:val="18"/>
              </w:rPr>
              <w:t>Immutable State Machines</w:t>
            </w:r>
          </w:p>
        </w:tc>
      </w:tr>
      <w:tr>
        <w:tc>
          <w:tcPr>
            <w:tcW w:type="dxa" w:w="2016"/>
            <w:shd w:fill="F8F9F9"/>
            <w:tcMar>
              <w:top w:w="100" w:type="dxa"/>
              <w:bottom w:w="100" w:type="dxa"/>
              <w:left w:w="120" w:type="dxa"/>
              <w:right w:w="120" w:type="dxa"/>
            </w:tcMar>
          </w:tcPr>
          <w:p>
            <w:pPr>
              <w:jc w:val="left"/>
            </w:pPr>
            <w:r>
              <w:rPr>
                <w:rFonts w:ascii="Times New Roman" w:hAnsi="Times New Roman"/>
                <w:sz w:val="18"/>
              </w:rPr>
              <w:t>Gemma 4 31B IT</w:t>
            </w:r>
          </w:p>
        </w:tc>
        <w:tc>
          <w:tcPr>
            <w:tcW w:type="dxa" w:w="1152"/>
            <w:shd w:fill="F8F9F9"/>
            <w:tcMar>
              <w:top w:w="100" w:type="dxa"/>
              <w:bottom w:w="100" w:type="dxa"/>
              <w:left w:w="120" w:type="dxa"/>
              <w:right w:w="120" w:type="dxa"/>
            </w:tcMar>
          </w:tcPr>
          <w:p>
            <w:pPr>
              <w:jc w:val="center"/>
            </w:pPr>
            <w:r>
              <w:rPr>
                <w:rFonts w:ascii="Times New Roman" w:hAnsi="Times New Roman"/>
                <w:sz w:val="18"/>
              </w:rPr>
              <w:t>128k tok</w:t>
            </w:r>
          </w:p>
        </w:tc>
        <w:tc>
          <w:tcPr>
            <w:tcW w:type="dxa" w:w="1296"/>
            <w:shd w:fill="F8F9F9"/>
            <w:tcMar>
              <w:top w:w="100" w:type="dxa"/>
              <w:bottom w:w="100" w:type="dxa"/>
              <w:left w:w="120" w:type="dxa"/>
              <w:right w:w="120" w:type="dxa"/>
            </w:tcMar>
          </w:tcPr>
          <w:p>
            <w:pPr>
              <w:jc w:val="center"/>
            </w:pPr>
            <w:r>
              <w:rPr>
                <w:rFonts w:ascii="Times New Roman" w:hAnsi="Times New Roman"/>
                <w:sz w:val="18"/>
              </w:rPr>
              <w:t>12.8s / 15.6s</w:t>
            </w:r>
          </w:p>
        </w:tc>
        <w:tc>
          <w:tcPr>
            <w:tcW w:type="dxa" w:w="1152"/>
            <w:shd w:fill="F8F9F9"/>
            <w:tcMar>
              <w:top w:w="100" w:type="dxa"/>
              <w:bottom w:w="100" w:type="dxa"/>
              <w:left w:w="120" w:type="dxa"/>
              <w:right w:w="120" w:type="dxa"/>
            </w:tcMar>
          </w:tcPr>
          <w:p>
            <w:pPr>
              <w:jc w:val="center"/>
            </w:pPr>
            <w:r>
              <w:rPr>
                <w:rFonts w:ascii="Times New Roman" w:hAnsi="Times New Roman"/>
                <w:b/>
                <w:sz w:val="18"/>
              </w:rPr>
              <w:t>62.0%</w:t>
            </w:r>
          </w:p>
        </w:tc>
        <w:tc>
          <w:tcPr>
            <w:tcW w:type="dxa" w:w="1008"/>
            <w:shd w:fill="F8F9F9"/>
            <w:tcMar>
              <w:top w:w="100" w:type="dxa"/>
              <w:bottom w:w="100" w:type="dxa"/>
              <w:left w:w="120" w:type="dxa"/>
              <w:right w:w="120" w:type="dxa"/>
            </w:tcMar>
          </w:tcPr>
          <w:p>
            <w:pPr>
              <w:jc w:val="center"/>
            </w:pPr>
            <w:r>
              <w:rPr>
                <w:rFonts w:ascii="Times New Roman" w:hAnsi="Times New Roman"/>
                <w:b/>
                <w:sz w:val="18"/>
              </w:rPr>
              <w:t>1.0000</w:t>
            </w:r>
          </w:p>
        </w:tc>
        <w:tc>
          <w:tcPr>
            <w:tcW w:type="dxa" w:w="1008"/>
            <w:shd w:fill="F8F9F9"/>
            <w:tcMar>
              <w:top w:w="100" w:type="dxa"/>
              <w:bottom w:w="100" w:type="dxa"/>
              <w:left w:w="120" w:type="dxa"/>
              <w:right w:w="120" w:type="dxa"/>
            </w:tcMar>
          </w:tcPr>
          <w:p>
            <w:pPr>
              <w:jc w:val="center"/>
            </w:pPr>
            <w:r>
              <w:rPr>
                <w:rFonts w:ascii="Times New Roman" w:hAnsi="Times New Roman"/>
                <w:sz w:val="18"/>
              </w:rPr>
              <w:t>60.0%</w:t>
            </w:r>
          </w:p>
        </w:tc>
        <w:tc>
          <w:tcPr>
            <w:tcW w:type="dxa" w:w="1872"/>
            <w:shd w:fill="F8F9F9"/>
            <w:tcMar>
              <w:top w:w="100" w:type="dxa"/>
              <w:bottom w:w="100" w:type="dxa"/>
              <w:left w:w="120" w:type="dxa"/>
              <w:right w:w="120" w:type="dxa"/>
            </w:tcMar>
          </w:tcPr>
          <w:p>
            <w:pPr>
              <w:jc w:val="center"/>
            </w:pPr>
            <w:r>
              <w:rPr>
                <w:rFonts w:ascii="Times New Roman" w:hAnsi="Times New Roman"/>
                <w:sz w:val="18"/>
              </w:rPr>
              <w:t>ES6 Arrow Signals &amp; Theme</w:t>
            </w:r>
          </w:p>
        </w:tc>
      </w:tr>
    </w:tbl>
    <w:p>
      <w:pPr>
        <w:spacing w:before="80" w:after="160"/>
      </w:pPr>
    </w:p>
    <w:p>
      <w:pPr>
        <w:spacing w:before="160" w:after="80"/>
        <w:jc w:val="center"/>
      </w:pPr>
      <w:r>
        <w:drawing>
          <wp:inline xmlns:a="http://schemas.openxmlformats.org/drawingml/2006/main" xmlns:pic="http://schemas.openxmlformats.org/drawingml/2006/picture">
            <wp:extent cx="5669280" cy="3447108"/>
            <wp:docPr id="4" name="Picture 4"/>
            <wp:cNvGraphicFramePr>
              <a:graphicFrameLocks noChangeAspect="1"/>
            </wp:cNvGraphicFramePr>
            <a:graphic>
              <a:graphicData uri="http://schemas.openxmlformats.org/drawingml/2006/picture">
                <pic:pic>
                  <pic:nvPicPr>
                    <pic:cNvPr id="0" name="fig2b_tier2_cloud_benchmarks.png"/>
                    <pic:cNvPicPr/>
                  </pic:nvPicPr>
                  <pic:blipFill>
                    <a:blip r:embed="rId12"/>
                    <a:stretch>
                      <a:fillRect/>
                    </a:stretch>
                  </pic:blipFill>
                  <pic:spPr>
                    <a:xfrm>
                      <a:off x="0" y="0"/>
                      <a:ext cx="5669280" cy="3447108"/>
                    </a:xfrm>
                    <a:prstGeom prst="rect"/>
                  </pic:spPr>
                </pic:pic>
              </a:graphicData>
            </a:graphic>
          </wp:inline>
        </w:drawing>
      </w:r>
    </w:p>
    <w:p>
      <w:pPr>
        <w:spacing w:before="40" w:after="200"/>
        <w:jc w:val="center"/>
      </w:pPr>
      <w:r>
        <w:rPr>
          <w:rFonts w:ascii="Times New Roman" w:hAnsi="Times New Roman"/>
          <w:i/>
          <w:sz w:val="18"/>
        </w:rPr>
        <w:t>Figure 3: Tier 2 Remote Cloud Frontier Flagship Telemetry Analysis (4-Panel): (A) Stage 1 token noise filtering percentage (N_filter %); (B) End-to-end API pipeline latency (t_S1 + t_S2); (C) Greenfield structural AST divergence (D_AST); (D) Upstream prompt caching and token cost reduction (%).</w:t>
      </w:r>
    </w:p>
    <w:p>
      <w:pPr>
        <w:spacing w:before="160" w:after="80"/>
        <w:jc w:val="center"/>
      </w:pPr>
      <w:r>
        <w:drawing>
          <wp:inline xmlns:a="http://schemas.openxmlformats.org/drawingml/2006/main" xmlns:pic="http://schemas.openxmlformats.org/drawingml/2006/picture">
            <wp:extent cx="5669280" cy="2838655"/>
            <wp:docPr id="5" name="Picture 5"/>
            <wp:cNvGraphicFramePr>
              <a:graphicFrameLocks noChangeAspect="1"/>
            </wp:cNvGraphicFramePr>
            <a:graphic>
              <a:graphicData uri="http://schemas.openxmlformats.org/drawingml/2006/picture">
                <pic:pic>
                  <pic:nvPicPr>
                    <pic:cNvPr id="0" name="fig4_latency_pareto.png"/>
                    <pic:cNvPicPr/>
                  </pic:nvPicPr>
                  <pic:blipFill>
                    <a:blip r:embed="rId13"/>
                    <a:stretch>
                      <a:fillRect/>
                    </a:stretch>
                  </pic:blipFill>
                  <pic:spPr>
                    <a:xfrm>
                      <a:off x="0" y="0"/>
                      <a:ext cx="5669280" cy="2838655"/>
                    </a:xfrm>
                    <a:prstGeom prst="rect"/>
                  </pic:spPr>
                </pic:pic>
              </a:graphicData>
            </a:graphic>
          </wp:inline>
        </w:drawing>
      </w:r>
    </w:p>
    <w:p>
      <w:pPr>
        <w:spacing w:before="40" w:after="200"/>
        <w:jc w:val="center"/>
      </w:pPr>
      <w:r>
        <w:rPr>
          <w:rFonts w:ascii="Times New Roman" w:hAnsi="Times New Roman"/>
          <w:i/>
          <w:sz w:val="18"/>
        </w:rPr>
        <w:t>Figure 4: Unified 16-model cross-tier Pareto frontier mapping end-to-end pipeline latency versus AST structural divergence across Local Edge hardware and Cloud Frontier APIs.</w:t>
      </w:r>
    </w:p>
    <w:p>
      <w:pPr>
        <w:keepNext/>
        <w:spacing w:before="240" w:after="80"/>
      </w:pPr>
      <w:r>
        <w:rPr>
          <w:rFonts w:ascii="Times New Roman" w:hAnsi="Times New Roman"/>
          <w:b/>
          <w:sz w:val="22"/>
        </w:rPr>
        <w:t>4.3 Impact of CodeGraph Indexing on Local Edge Models</w:t>
      </w:r>
    </w:p>
    <w:p>
      <w:pPr>
        <w:spacing w:before="0" w:after="120" w:line="276" w:lineRule="auto"/>
        <w:jc w:val="both"/>
      </w:pPr>
      <w:r>
        <w:rPr>
          <w:rFonts w:ascii="Times New Roman" w:hAnsi="Times New Roman"/>
          <w:sz w:val="20"/>
        </w:rPr>
        <w:t>To evaluate the empirical impact of live indexing, we conducted an ablation study on local hardware. We compared our base system prompt skill (without indexing) against the CodeGraph-enabled workflow. Under the unindexed condition, the model was forced to ingest raw directories directly, leading to severe context bloat (18,400 tokens), low syntax integrity pass rate (40%), and strong contextual anchoring (0.0197 AST divergence). When CodeGraph was enabled, its live Tree-sitter file watcher and SQLite indexing dynamically traced symbol call paths and pruned irrelevant workspace directories, reducing context to 1,250 tokens (a 14x compression), achieving 100% syntax pass rate and deanchoring to 0.8211 AST divergence.</w:t>
      </w:r>
    </w:p>
    <w:p>
      <w:pPr>
        <w:spacing w:before="160" w:after="80"/>
        <w:jc w:val="center"/>
      </w:pPr>
      <w:r>
        <w:drawing>
          <wp:inline xmlns:a="http://schemas.openxmlformats.org/drawingml/2006/main" xmlns:pic="http://schemas.openxmlformats.org/drawingml/2006/picture">
            <wp:extent cx="5669280" cy="1786994"/>
            <wp:docPr id="6" name="Picture 6"/>
            <wp:cNvGraphicFramePr>
              <a:graphicFrameLocks noChangeAspect="1"/>
            </wp:cNvGraphicFramePr>
            <a:graphic>
              <a:graphicData uri="http://schemas.openxmlformats.org/drawingml/2006/picture">
                <pic:pic>
                  <pic:nvPicPr>
                    <pic:cNvPr id="0" name="fig5_indexing_impact.png"/>
                    <pic:cNvPicPr/>
                  </pic:nvPicPr>
                  <pic:blipFill>
                    <a:blip r:embed="rId14"/>
                    <a:stretch>
                      <a:fillRect/>
                    </a:stretch>
                  </pic:blipFill>
                  <pic:spPr>
                    <a:xfrm>
                      <a:off x="0" y="0"/>
                      <a:ext cx="5669280" cy="1786994"/>
                    </a:xfrm>
                    <a:prstGeom prst="rect"/>
                  </pic:spPr>
                </pic:pic>
              </a:graphicData>
            </a:graphic>
          </wp:inline>
        </w:drawing>
      </w:r>
    </w:p>
    <w:p>
      <w:pPr>
        <w:spacing w:before="40" w:after="200"/>
        <w:jc w:val="center"/>
      </w:pPr>
      <w:r>
        <w:rPr>
          <w:rFonts w:ascii="Times New Roman" w:hAnsi="Times New Roman"/>
          <w:i/>
          <w:sz w:val="18"/>
        </w:rPr>
        <w:t>Figure 5: Comparative ablation analysis of prompt context size (tokens), syntax integrity pass rate (%), and AST structural divergence under the Bare Skill vs. CodeGraph indexing conditions.</w:t>
      </w:r>
    </w:p>
    <w:p>
      <w:pPr>
        <w:keepNext/>
        <w:spacing w:before="240" w:after="80"/>
      </w:pPr>
      <w:r>
        <w:rPr>
          <w:rFonts w:ascii="Times New Roman" w:hAnsi="Times New Roman"/>
          <w:b/>
          <w:sz w:val="22"/>
        </w:rPr>
        <w:t>4.4 Ablation Study: Disentangling Semantic Representation from Context Compression</w:t>
      </w:r>
    </w:p>
    <w:p>
      <w:pPr>
        <w:spacing w:before="0" w:after="120" w:line="276" w:lineRule="auto"/>
        <w:jc w:val="both"/>
      </w:pPr>
      <w:r>
        <w:rPr>
          <w:rFonts w:ascii="Times New Roman" w:hAnsi="Times New Roman"/>
          <w:sz w:val="20"/>
        </w:rPr>
        <w:t>A critical theoretical and empirical question is whether the deanchoring performance gain is driven specifically by structured semantic intermediate schemas (S_YAML), or whether it is merely an artifact of token truncation (i.e., reducing the input context length). To disentangle these phenomena, we evaluated six distinct conditioning configurations: (1) C_D: Direct Baseline Control, (2) C_Trunc: Naive 50% Token Truncation, (3) C_Skel: Structural AST Skeleton, (4) C_Doc: Natural Language Prose Spec, (5) C_JSON: Strict JSON Schema, and (6) C_YAML: Canonical Deanchor YAML.</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fill="EAECEE"/>
            <w:tcMar>
              <w:top w:w="120" w:type="dxa"/>
              <w:bottom w:w="120" w:type="dxa"/>
              <w:left w:w="140" w:type="dxa"/>
              <w:right w:w="140" w:type="dxa"/>
            </w:tcMar>
          </w:tcPr>
          <w:p>
            <w:pPr>
              <w:jc w:val="center"/>
            </w:pPr>
            <w:r>
              <w:rPr>
                <w:rFonts w:ascii="Times New Roman" w:hAnsi="Times New Roman"/>
                <w:b/>
                <w:sz w:val="19"/>
              </w:rPr>
              <w:t>Condition Configuration</w:t>
            </w:r>
          </w:p>
        </w:tc>
        <w:tc>
          <w:tcPr>
            <w:tcW w:type="dxa" w:w="1008"/>
            <w:shd w:fill="EAECEE"/>
            <w:tcMar>
              <w:top w:w="120" w:type="dxa"/>
              <w:bottom w:w="120" w:type="dxa"/>
              <w:left w:w="140" w:type="dxa"/>
              <w:right w:w="140" w:type="dxa"/>
            </w:tcMar>
          </w:tcPr>
          <w:p>
            <w:pPr>
              <w:jc w:val="center"/>
            </w:pPr>
            <w:r>
              <w:rPr>
                <w:rFonts w:ascii="Times New Roman" w:hAnsi="Times New Roman"/>
                <w:b/>
                <w:sz w:val="19"/>
              </w:rPr>
              <w:t>Mean Tokens</w:t>
            </w:r>
          </w:p>
        </w:tc>
        <w:tc>
          <w:tcPr>
            <w:tcW w:type="dxa" w:w="1152"/>
            <w:shd w:fill="EAECEE"/>
            <w:tcMar>
              <w:top w:w="120" w:type="dxa"/>
              <w:bottom w:w="120" w:type="dxa"/>
              <w:left w:w="140" w:type="dxa"/>
              <w:right w:w="140" w:type="dxa"/>
            </w:tcMar>
          </w:tcPr>
          <w:p>
            <w:pPr>
              <w:jc w:val="center"/>
            </w:pPr>
            <w:r>
              <w:rPr>
                <w:rFonts w:ascii="Times New Roman" w:hAnsi="Times New Roman"/>
                <w:b/>
                <w:sz w:val="19"/>
              </w:rPr>
              <w:t>Token Red. (%)</w:t>
            </w:r>
          </w:p>
        </w:tc>
        <w:tc>
          <w:tcPr>
            <w:tcW w:type="dxa" w:w="1152"/>
            <w:shd w:fill="EAECEE"/>
            <w:tcMar>
              <w:top w:w="120" w:type="dxa"/>
              <w:bottom w:w="120" w:type="dxa"/>
              <w:left w:w="140" w:type="dxa"/>
              <w:right w:w="140" w:type="dxa"/>
            </w:tcMar>
          </w:tcPr>
          <w:p>
            <w:pPr>
              <w:jc w:val="center"/>
            </w:pPr>
            <w:r>
              <w:rPr>
                <w:rFonts w:ascii="Times New Roman" w:hAnsi="Times New Roman"/>
                <w:b/>
                <w:sz w:val="19"/>
              </w:rPr>
              <w:t>AST Divergence</w:t>
            </w:r>
          </w:p>
        </w:tc>
        <w:tc>
          <w:tcPr>
            <w:tcW w:type="dxa" w:w="1152"/>
            <w:shd w:fill="EAECEE"/>
            <w:tcMar>
              <w:top w:w="120" w:type="dxa"/>
              <w:bottom w:w="120" w:type="dxa"/>
              <w:left w:w="140" w:type="dxa"/>
              <w:right w:w="140" w:type="dxa"/>
            </w:tcMar>
          </w:tcPr>
          <w:p>
            <w:pPr>
              <w:jc w:val="center"/>
            </w:pPr>
            <w:r>
              <w:rPr>
                <w:rFonts w:ascii="Times New Roman" w:hAnsi="Times New Roman"/>
                <w:b/>
                <w:sz w:val="19"/>
              </w:rPr>
              <w:t>Invariant Ret. (%)</w:t>
            </w:r>
          </w:p>
        </w:tc>
        <w:tc>
          <w:tcPr>
            <w:tcW w:type="dxa" w:w="1008"/>
            <w:shd w:fill="EAECEE"/>
            <w:tcMar>
              <w:top w:w="120" w:type="dxa"/>
              <w:bottom w:w="120" w:type="dxa"/>
              <w:left w:w="140" w:type="dxa"/>
              <w:right w:w="140" w:type="dxa"/>
            </w:tcMar>
          </w:tcPr>
          <w:p>
            <w:pPr>
              <w:jc w:val="center"/>
            </w:pPr>
            <w:r>
              <w:rPr>
                <w:rFonts w:ascii="Times New Roman" w:hAnsi="Times New Roman"/>
                <w:b/>
                <w:sz w:val="19"/>
              </w:rPr>
              <w:t>Syntax Pass (%)</w:t>
            </w:r>
          </w:p>
        </w:tc>
        <w:tc>
          <w:tcPr>
            <w:tcW w:type="dxa" w:w="2016"/>
            <w:shd w:fill="EAECEE"/>
            <w:tcMar>
              <w:top w:w="120" w:type="dxa"/>
              <w:bottom w:w="120" w:type="dxa"/>
              <w:left w:w="140" w:type="dxa"/>
              <w:right w:w="140" w:type="dxa"/>
            </w:tcMar>
          </w:tcPr>
          <w:p>
            <w:pPr>
              <w:jc w:val="center"/>
            </w:pPr>
            <w:r>
              <w:rPr>
                <w:rFonts w:ascii="Times New Roman" w:hAnsi="Times New Roman"/>
                <w:b/>
                <w:sz w:val="19"/>
              </w:rPr>
              <w:t>Mutual Info I(Ty; Tx | S)</w:t>
            </w:r>
          </w:p>
        </w:tc>
      </w:tr>
      <w:tr>
        <w:tc>
          <w:tcPr>
            <w:tcW w:type="dxa" w:w="2592"/>
            <w:shd w:fill="FFFFFF"/>
            <w:tcMar>
              <w:top w:w="100" w:type="dxa"/>
              <w:bottom w:w="100" w:type="dxa"/>
              <w:left w:w="120" w:type="dxa"/>
              <w:right w:w="120" w:type="dxa"/>
            </w:tcMar>
          </w:tcPr>
          <w:p>
            <w:pPr>
              <w:jc w:val="left"/>
            </w:pPr>
            <w:r>
              <w:rPr>
                <w:rFonts w:ascii="Times New Roman" w:hAnsi="Times New Roman"/>
                <w:sz w:val="18"/>
              </w:rPr>
              <w:t>C_D: Direct Baseline Control</w:t>
            </w:r>
          </w:p>
        </w:tc>
        <w:tc>
          <w:tcPr>
            <w:tcW w:type="dxa" w:w="1008"/>
            <w:shd w:fill="FFFFFF"/>
            <w:tcMar>
              <w:top w:w="100" w:type="dxa"/>
              <w:bottom w:w="100" w:type="dxa"/>
              <w:left w:w="120" w:type="dxa"/>
              <w:right w:w="120" w:type="dxa"/>
            </w:tcMar>
          </w:tcPr>
          <w:p>
            <w:pPr>
              <w:jc w:val="center"/>
            </w:pPr>
            <w:r>
              <w:rPr>
                <w:rFonts w:ascii="Times New Roman" w:hAnsi="Times New Roman"/>
                <w:sz w:val="18"/>
              </w:rPr>
              <w:t>2,840</w:t>
            </w:r>
          </w:p>
        </w:tc>
        <w:tc>
          <w:tcPr>
            <w:tcW w:type="dxa" w:w="1152"/>
            <w:shd w:fill="FFFFFF"/>
            <w:tcMar>
              <w:top w:w="100" w:type="dxa"/>
              <w:bottom w:w="100" w:type="dxa"/>
              <w:left w:w="120" w:type="dxa"/>
              <w:right w:w="120" w:type="dxa"/>
            </w:tcMar>
          </w:tcPr>
          <w:p>
            <w:pPr>
              <w:jc w:val="center"/>
            </w:pPr>
            <w:r>
              <w:rPr>
                <w:rFonts w:ascii="Times New Roman" w:hAnsi="Times New Roman"/>
                <w:sz w:val="18"/>
              </w:rPr>
              <w:t>0.0%</w:t>
            </w:r>
          </w:p>
        </w:tc>
        <w:tc>
          <w:tcPr>
            <w:tcW w:type="dxa" w:w="1152"/>
            <w:shd w:fill="FFFFFF"/>
            <w:tcMar>
              <w:top w:w="100" w:type="dxa"/>
              <w:bottom w:w="100" w:type="dxa"/>
              <w:left w:w="120" w:type="dxa"/>
              <w:right w:w="120" w:type="dxa"/>
            </w:tcMar>
          </w:tcPr>
          <w:p>
            <w:pPr>
              <w:jc w:val="center"/>
            </w:pPr>
            <w:r>
              <w:rPr>
                <w:rFonts w:ascii="Times New Roman" w:hAnsi="Times New Roman"/>
                <w:sz w:val="18"/>
              </w:rPr>
              <w:t>0.0197</w:t>
            </w:r>
          </w:p>
        </w:tc>
        <w:tc>
          <w:tcPr>
            <w:tcW w:type="dxa" w:w="1152"/>
            <w:shd w:fill="FFFFFF"/>
            <w:tcMar>
              <w:top w:w="100" w:type="dxa"/>
              <w:bottom w:w="100" w:type="dxa"/>
              <w:left w:w="120" w:type="dxa"/>
              <w:right w:w="120" w:type="dxa"/>
            </w:tcMar>
          </w:tcPr>
          <w:p>
            <w:pPr>
              <w:jc w:val="center"/>
            </w:pPr>
            <w:r>
              <w:rPr>
                <w:rFonts w:ascii="Times New Roman" w:hAnsi="Times New Roman"/>
                <w:sz w:val="18"/>
              </w:rPr>
              <w:t>98.5%</w:t>
            </w:r>
          </w:p>
        </w:tc>
        <w:tc>
          <w:tcPr>
            <w:tcW w:type="dxa" w:w="1008"/>
            <w:shd w:fill="FFFFFF"/>
            <w:tcMar>
              <w:top w:w="100" w:type="dxa"/>
              <w:bottom w:w="100" w:type="dxa"/>
              <w:left w:w="120" w:type="dxa"/>
              <w:right w:w="120" w:type="dxa"/>
            </w:tcMar>
          </w:tcPr>
          <w:p>
            <w:pPr>
              <w:jc w:val="center"/>
            </w:pPr>
            <w:r>
              <w:rPr>
                <w:rFonts w:ascii="Times New Roman" w:hAnsi="Times New Roman"/>
                <w:sz w:val="18"/>
              </w:rPr>
              <w:t>96.0%</w:t>
            </w:r>
          </w:p>
        </w:tc>
        <w:tc>
          <w:tcPr>
            <w:tcW w:type="dxa" w:w="2016"/>
            <w:shd w:fill="FFFFFF"/>
            <w:tcMar>
              <w:top w:w="100" w:type="dxa"/>
              <w:bottom w:w="100" w:type="dxa"/>
              <w:left w:w="120" w:type="dxa"/>
              <w:right w:w="120" w:type="dxa"/>
            </w:tcMar>
          </w:tcPr>
          <w:p>
            <w:pPr>
              <w:jc w:val="center"/>
            </w:pPr>
            <w:r>
              <w:rPr>
                <w:rFonts w:ascii="Times New Roman" w:hAnsi="Times New Roman"/>
                <w:sz w:val="18"/>
              </w:rPr>
              <w:t>1.0000 (Anchored)</w:t>
            </w:r>
          </w:p>
        </w:tc>
      </w:tr>
      <w:tr>
        <w:tc>
          <w:tcPr>
            <w:tcW w:type="dxa" w:w="2592"/>
            <w:shd w:fill="F8F9F9"/>
            <w:tcMar>
              <w:top w:w="100" w:type="dxa"/>
              <w:bottom w:w="100" w:type="dxa"/>
              <w:left w:w="120" w:type="dxa"/>
              <w:right w:w="120" w:type="dxa"/>
            </w:tcMar>
          </w:tcPr>
          <w:p>
            <w:pPr>
              <w:jc w:val="left"/>
            </w:pPr>
            <w:r>
              <w:rPr>
                <w:rFonts w:ascii="Times New Roman" w:hAnsi="Times New Roman"/>
                <w:sz w:val="18"/>
              </w:rPr>
              <w:t>C_Trunc: 50% Token Truncation</w:t>
            </w:r>
          </w:p>
        </w:tc>
        <w:tc>
          <w:tcPr>
            <w:tcW w:type="dxa" w:w="1008"/>
            <w:shd w:fill="F8F9F9"/>
            <w:tcMar>
              <w:top w:w="100" w:type="dxa"/>
              <w:bottom w:w="100" w:type="dxa"/>
              <w:left w:w="120" w:type="dxa"/>
              <w:right w:w="120" w:type="dxa"/>
            </w:tcMar>
          </w:tcPr>
          <w:p>
            <w:pPr>
              <w:jc w:val="center"/>
            </w:pPr>
            <w:r>
              <w:rPr>
                <w:rFonts w:ascii="Times New Roman" w:hAnsi="Times New Roman"/>
                <w:sz w:val="18"/>
              </w:rPr>
              <w:t>1,420</w:t>
            </w:r>
          </w:p>
        </w:tc>
        <w:tc>
          <w:tcPr>
            <w:tcW w:type="dxa" w:w="1152"/>
            <w:shd w:fill="F8F9F9"/>
            <w:tcMar>
              <w:top w:w="100" w:type="dxa"/>
              <w:bottom w:w="100" w:type="dxa"/>
              <w:left w:w="120" w:type="dxa"/>
              <w:right w:w="120" w:type="dxa"/>
            </w:tcMar>
          </w:tcPr>
          <w:p>
            <w:pPr>
              <w:jc w:val="center"/>
            </w:pPr>
            <w:r>
              <w:rPr>
                <w:rFonts w:ascii="Times New Roman" w:hAnsi="Times New Roman"/>
                <w:sz w:val="18"/>
              </w:rPr>
              <w:t>50.0%</w:t>
            </w:r>
          </w:p>
        </w:tc>
        <w:tc>
          <w:tcPr>
            <w:tcW w:type="dxa" w:w="1152"/>
            <w:shd w:fill="F8F9F9"/>
            <w:tcMar>
              <w:top w:w="100" w:type="dxa"/>
              <w:bottom w:w="100" w:type="dxa"/>
              <w:left w:w="120" w:type="dxa"/>
              <w:right w:w="120" w:type="dxa"/>
            </w:tcMar>
          </w:tcPr>
          <w:p>
            <w:pPr>
              <w:jc w:val="center"/>
            </w:pPr>
            <w:r>
              <w:rPr>
                <w:rFonts w:ascii="Times New Roman" w:hAnsi="Times New Roman"/>
                <w:sz w:val="18"/>
              </w:rPr>
              <w:t>0.0842</w:t>
            </w:r>
          </w:p>
        </w:tc>
        <w:tc>
          <w:tcPr>
            <w:tcW w:type="dxa" w:w="1152"/>
            <w:shd w:fill="F8F9F9"/>
            <w:tcMar>
              <w:top w:w="100" w:type="dxa"/>
              <w:bottom w:w="100" w:type="dxa"/>
              <w:left w:w="120" w:type="dxa"/>
              <w:right w:w="120" w:type="dxa"/>
            </w:tcMar>
          </w:tcPr>
          <w:p>
            <w:pPr>
              <w:jc w:val="center"/>
            </w:pPr>
            <w:r>
              <w:rPr>
                <w:rFonts w:ascii="Times New Roman" w:hAnsi="Times New Roman"/>
                <w:sz w:val="18"/>
              </w:rPr>
              <w:t>48.0%</w:t>
            </w:r>
          </w:p>
        </w:tc>
        <w:tc>
          <w:tcPr>
            <w:tcW w:type="dxa" w:w="1008"/>
            <w:shd w:fill="F8F9F9"/>
            <w:tcMar>
              <w:top w:w="100" w:type="dxa"/>
              <w:bottom w:w="100" w:type="dxa"/>
              <w:left w:w="120" w:type="dxa"/>
              <w:right w:w="120" w:type="dxa"/>
            </w:tcMar>
          </w:tcPr>
          <w:p>
            <w:pPr>
              <w:jc w:val="center"/>
            </w:pPr>
            <w:r>
              <w:rPr>
                <w:rFonts w:ascii="Times New Roman" w:hAnsi="Times New Roman"/>
                <w:sz w:val="18"/>
              </w:rPr>
              <w:t>54.0%</w:t>
            </w:r>
          </w:p>
        </w:tc>
        <w:tc>
          <w:tcPr>
            <w:tcW w:type="dxa" w:w="2016"/>
            <w:shd w:fill="F8F9F9"/>
            <w:tcMar>
              <w:top w:w="100" w:type="dxa"/>
              <w:bottom w:w="100" w:type="dxa"/>
              <w:left w:w="120" w:type="dxa"/>
              <w:right w:w="120" w:type="dxa"/>
            </w:tcMar>
          </w:tcPr>
          <w:p>
            <w:pPr>
              <w:jc w:val="center"/>
            </w:pPr>
            <w:r>
              <w:rPr>
                <w:rFonts w:ascii="Times New Roman" w:hAnsi="Times New Roman"/>
                <w:sz w:val="18"/>
              </w:rPr>
              <w:t>0.7850 (Partial)</w:t>
            </w:r>
          </w:p>
        </w:tc>
      </w:tr>
      <w:tr>
        <w:tc>
          <w:tcPr>
            <w:tcW w:type="dxa" w:w="2592"/>
            <w:shd w:fill="FFFFFF"/>
            <w:tcMar>
              <w:top w:w="100" w:type="dxa"/>
              <w:bottom w:w="100" w:type="dxa"/>
              <w:left w:w="120" w:type="dxa"/>
              <w:right w:w="120" w:type="dxa"/>
            </w:tcMar>
          </w:tcPr>
          <w:p>
            <w:pPr>
              <w:jc w:val="left"/>
            </w:pPr>
            <w:r>
              <w:rPr>
                <w:rFonts w:ascii="Times New Roman" w:hAnsi="Times New Roman"/>
                <w:sz w:val="18"/>
              </w:rPr>
              <w:t>C_Skel: Structural AST Skeleton</w:t>
            </w:r>
          </w:p>
        </w:tc>
        <w:tc>
          <w:tcPr>
            <w:tcW w:type="dxa" w:w="1008"/>
            <w:shd w:fill="FFFFFF"/>
            <w:tcMar>
              <w:top w:w="100" w:type="dxa"/>
              <w:bottom w:w="100" w:type="dxa"/>
              <w:left w:w="120" w:type="dxa"/>
              <w:right w:w="120" w:type="dxa"/>
            </w:tcMar>
          </w:tcPr>
          <w:p>
            <w:pPr>
              <w:jc w:val="center"/>
            </w:pPr>
            <w:r>
              <w:rPr>
                <w:rFonts w:ascii="Times New Roman" w:hAnsi="Times New Roman"/>
                <w:sz w:val="18"/>
              </w:rPr>
              <w:t>960</w:t>
            </w:r>
          </w:p>
        </w:tc>
        <w:tc>
          <w:tcPr>
            <w:tcW w:type="dxa" w:w="1152"/>
            <w:shd w:fill="FFFFFF"/>
            <w:tcMar>
              <w:top w:w="100" w:type="dxa"/>
              <w:bottom w:w="100" w:type="dxa"/>
              <w:left w:w="120" w:type="dxa"/>
              <w:right w:w="120" w:type="dxa"/>
            </w:tcMar>
          </w:tcPr>
          <w:p>
            <w:pPr>
              <w:jc w:val="center"/>
            </w:pPr>
            <w:r>
              <w:rPr>
                <w:rFonts w:ascii="Times New Roman" w:hAnsi="Times New Roman"/>
                <w:sz w:val="18"/>
              </w:rPr>
              <w:t>66.2%</w:t>
            </w:r>
          </w:p>
        </w:tc>
        <w:tc>
          <w:tcPr>
            <w:tcW w:type="dxa" w:w="1152"/>
            <w:shd w:fill="FFFFFF"/>
            <w:tcMar>
              <w:top w:w="100" w:type="dxa"/>
              <w:bottom w:w="100" w:type="dxa"/>
              <w:left w:w="120" w:type="dxa"/>
              <w:right w:w="120" w:type="dxa"/>
            </w:tcMar>
          </w:tcPr>
          <w:p>
            <w:pPr>
              <w:jc w:val="center"/>
            </w:pPr>
            <w:r>
              <w:rPr>
                <w:rFonts w:ascii="Times New Roman" w:hAnsi="Times New Roman"/>
                <w:sz w:val="18"/>
              </w:rPr>
              <w:t>0.1415</w:t>
            </w:r>
          </w:p>
        </w:tc>
        <w:tc>
          <w:tcPr>
            <w:tcW w:type="dxa" w:w="1152"/>
            <w:shd w:fill="FFFFFF"/>
            <w:tcMar>
              <w:top w:w="100" w:type="dxa"/>
              <w:bottom w:w="100" w:type="dxa"/>
              <w:left w:w="120" w:type="dxa"/>
              <w:right w:w="120" w:type="dxa"/>
            </w:tcMar>
          </w:tcPr>
          <w:p>
            <w:pPr>
              <w:jc w:val="center"/>
            </w:pPr>
            <w:r>
              <w:rPr>
                <w:rFonts w:ascii="Times New Roman" w:hAnsi="Times New Roman"/>
                <w:sz w:val="18"/>
              </w:rPr>
              <w:t>52.0%</w:t>
            </w:r>
          </w:p>
        </w:tc>
        <w:tc>
          <w:tcPr>
            <w:tcW w:type="dxa" w:w="1008"/>
            <w:shd w:fill="FFFFFF"/>
            <w:tcMar>
              <w:top w:w="100" w:type="dxa"/>
              <w:bottom w:w="100" w:type="dxa"/>
              <w:left w:w="120" w:type="dxa"/>
              <w:right w:w="120" w:type="dxa"/>
            </w:tcMar>
          </w:tcPr>
          <w:p>
            <w:pPr>
              <w:jc w:val="center"/>
            </w:pPr>
            <w:r>
              <w:rPr>
                <w:rFonts w:ascii="Times New Roman" w:hAnsi="Times New Roman"/>
                <w:sz w:val="18"/>
              </w:rPr>
              <w:t>88.0%</w:t>
            </w:r>
          </w:p>
        </w:tc>
        <w:tc>
          <w:tcPr>
            <w:tcW w:type="dxa" w:w="2016"/>
            <w:shd w:fill="FFFFFF"/>
            <w:tcMar>
              <w:top w:w="100" w:type="dxa"/>
              <w:bottom w:w="100" w:type="dxa"/>
              <w:left w:w="120" w:type="dxa"/>
              <w:right w:w="120" w:type="dxa"/>
            </w:tcMar>
          </w:tcPr>
          <w:p>
            <w:pPr>
              <w:jc w:val="center"/>
            </w:pPr>
            <w:r>
              <w:rPr>
                <w:rFonts w:ascii="Times New Roman" w:hAnsi="Times New Roman"/>
                <w:sz w:val="18"/>
              </w:rPr>
              <w:t>0.8920 (Structural)</w:t>
            </w:r>
          </w:p>
        </w:tc>
      </w:tr>
      <w:tr>
        <w:tc>
          <w:tcPr>
            <w:tcW w:type="dxa" w:w="2592"/>
            <w:shd w:fill="F8F9F9"/>
            <w:tcMar>
              <w:top w:w="100" w:type="dxa"/>
              <w:bottom w:w="100" w:type="dxa"/>
              <w:left w:w="120" w:type="dxa"/>
              <w:right w:w="120" w:type="dxa"/>
            </w:tcMar>
          </w:tcPr>
          <w:p>
            <w:pPr>
              <w:jc w:val="left"/>
            </w:pPr>
            <w:r>
              <w:rPr>
                <w:rFonts w:ascii="Times New Roman" w:hAnsi="Times New Roman"/>
                <w:sz w:val="18"/>
              </w:rPr>
              <w:t>C_Doc: Natural Language Prose Spec</w:t>
            </w:r>
          </w:p>
        </w:tc>
        <w:tc>
          <w:tcPr>
            <w:tcW w:type="dxa" w:w="1008"/>
            <w:shd w:fill="F8F9F9"/>
            <w:tcMar>
              <w:top w:w="100" w:type="dxa"/>
              <w:bottom w:w="100" w:type="dxa"/>
              <w:left w:w="120" w:type="dxa"/>
              <w:right w:w="120" w:type="dxa"/>
            </w:tcMar>
          </w:tcPr>
          <w:p>
            <w:pPr>
              <w:jc w:val="center"/>
            </w:pPr>
            <w:r>
              <w:rPr>
                <w:rFonts w:ascii="Times New Roman" w:hAnsi="Times New Roman"/>
                <w:sz w:val="18"/>
              </w:rPr>
              <w:t>420</w:t>
            </w:r>
          </w:p>
        </w:tc>
        <w:tc>
          <w:tcPr>
            <w:tcW w:type="dxa" w:w="1152"/>
            <w:shd w:fill="F8F9F9"/>
            <w:tcMar>
              <w:top w:w="100" w:type="dxa"/>
              <w:bottom w:w="100" w:type="dxa"/>
              <w:left w:w="120" w:type="dxa"/>
              <w:right w:w="120" w:type="dxa"/>
            </w:tcMar>
          </w:tcPr>
          <w:p>
            <w:pPr>
              <w:jc w:val="center"/>
            </w:pPr>
            <w:r>
              <w:rPr>
                <w:rFonts w:ascii="Times New Roman" w:hAnsi="Times New Roman"/>
                <w:sz w:val="18"/>
              </w:rPr>
              <w:t>85.2%</w:t>
            </w:r>
          </w:p>
        </w:tc>
        <w:tc>
          <w:tcPr>
            <w:tcW w:type="dxa" w:w="1152"/>
            <w:shd w:fill="F8F9F9"/>
            <w:tcMar>
              <w:top w:w="100" w:type="dxa"/>
              <w:bottom w:w="100" w:type="dxa"/>
              <w:left w:w="120" w:type="dxa"/>
              <w:right w:w="120" w:type="dxa"/>
            </w:tcMar>
          </w:tcPr>
          <w:p>
            <w:pPr>
              <w:jc w:val="center"/>
            </w:pPr>
            <w:r>
              <w:rPr>
                <w:rFonts w:ascii="Times New Roman" w:hAnsi="Times New Roman"/>
                <w:sz w:val="18"/>
              </w:rPr>
              <w:t>0.9180</w:t>
            </w:r>
          </w:p>
        </w:tc>
        <w:tc>
          <w:tcPr>
            <w:tcW w:type="dxa" w:w="1152"/>
            <w:shd w:fill="F8F9F9"/>
            <w:tcMar>
              <w:top w:w="100" w:type="dxa"/>
              <w:bottom w:w="100" w:type="dxa"/>
              <w:left w:w="120" w:type="dxa"/>
              <w:right w:w="120" w:type="dxa"/>
            </w:tcMar>
          </w:tcPr>
          <w:p>
            <w:pPr>
              <w:jc w:val="center"/>
            </w:pPr>
            <w:r>
              <w:rPr>
                <w:rFonts w:ascii="Times New Roman" w:hAnsi="Times New Roman"/>
                <w:sz w:val="18"/>
              </w:rPr>
              <w:t>74.5%</w:t>
            </w:r>
          </w:p>
        </w:tc>
        <w:tc>
          <w:tcPr>
            <w:tcW w:type="dxa" w:w="1008"/>
            <w:shd w:fill="F8F9F9"/>
            <w:tcMar>
              <w:top w:w="100" w:type="dxa"/>
              <w:bottom w:w="100" w:type="dxa"/>
              <w:left w:w="120" w:type="dxa"/>
              <w:right w:w="120" w:type="dxa"/>
            </w:tcMar>
          </w:tcPr>
          <w:p>
            <w:pPr>
              <w:jc w:val="center"/>
            </w:pPr>
            <w:r>
              <w:rPr>
                <w:rFonts w:ascii="Times New Roman" w:hAnsi="Times New Roman"/>
                <w:sz w:val="18"/>
              </w:rPr>
              <w:t>92.0%</w:t>
            </w:r>
          </w:p>
        </w:tc>
        <w:tc>
          <w:tcPr>
            <w:tcW w:type="dxa" w:w="2016"/>
            <w:shd w:fill="F8F9F9"/>
            <w:tcMar>
              <w:top w:w="100" w:type="dxa"/>
              <w:bottom w:w="100" w:type="dxa"/>
              <w:left w:w="120" w:type="dxa"/>
              <w:right w:w="120" w:type="dxa"/>
            </w:tcMar>
          </w:tcPr>
          <w:p>
            <w:pPr>
              <w:jc w:val="center"/>
            </w:pPr>
            <w:r>
              <w:rPr>
                <w:rFonts w:ascii="Times New Roman" w:hAnsi="Times New Roman"/>
                <w:sz w:val="18"/>
              </w:rPr>
              <w:t>0.0000 (Ambiguous)</w:t>
            </w:r>
          </w:p>
        </w:tc>
      </w:tr>
      <w:tr>
        <w:tc>
          <w:tcPr>
            <w:tcW w:type="dxa" w:w="2592"/>
            <w:shd w:fill="FFFFFF"/>
            <w:tcMar>
              <w:top w:w="100" w:type="dxa"/>
              <w:bottom w:w="100" w:type="dxa"/>
              <w:left w:w="120" w:type="dxa"/>
              <w:right w:w="120" w:type="dxa"/>
            </w:tcMar>
          </w:tcPr>
          <w:p>
            <w:pPr>
              <w:jc w:val="left"/>
            </w:pPr>
            <w:r>
              <w:rPr>
                <w:rFonts w:ascii="Times New Roman" w:hAnsi="Times New Roman"/>
                <w:sz w:val="18"/>
              </w:rPr>
              <w:t>C_JSON: Strict JSON Schema</w:t>
            </w:r>
          </w:p>
        </w:tc>
        <w:tc>
          <w:tcPr>
            <w:tcW w:type="dxa" w:w="1008"/>
            <w:shd w:fill="FFFFFF"/>
            <w:tcMar>
              <w:top w:w="100" w:type="dxa"/>
              <w:bottom w:w="100" w:type="dxa"/>
              <w:left w:w="120" w:type="dxa"/>
              <w:right w:w="120" w:type="dxa"/>
            </w:tcMar>
          </w:tcPr>
          <w:p>
            <w:pPr>
              <w:jc w:val="center"/>
            </w:pPr>
            <w:r>
              <w:rPr>
                <w:rFonts w:ascii="Times New Roman" w:hAnsi="Times New Roman"/>
                <w:sz w:val="18"/>
              </w:rPr>
              <w:t>510</w:t>
            </w:r>
          </w:p>
        </w:tc>
        <w:tc>
          <w:tcPr>
            <w:tcW w:type="dxa" w:w="1152"/>
            <w:shd w:fill="FFFFFF"/>
            <w:tcMar>
              <w:top w:w="100" w:type="dxa"/>
              <w:bottom w:w="100" w:type="dxa"/>
              <w:left w:w="120" w:type="dxa"/>
              <w:right w:w="120" w:type="dxa"/>
            </w:tcMar>
          </w:tcPr>
          <w:p>
            <w:pPr>
              <w:jc w:val="center"/>
            </w:pPr>
            <w:r>
              <w:rPr>
                <w:rFonts w:ascii="Times New Roman" w:hAnsi="Times New Roman"/>
                <w:sz w:val="18"/>
              </w:rPr>
              <w:t>82.0%</w:t>
            </w:r>
          </w:p>
        </w:tc>
        <w:tc>
          <w:tcPr>
            <w:tcW w:type="dxa" w:w="1152"/>
            <w:shd w:fill="FFFFFF"/>
            <w:tcMar>
              <w:top w:w="100" w:type="dxa"/>
              <w:bottom w:w="100" w:type="dxa"/>
              <w:left w:w="120" w:type="dxa"/>
              <w:right w:w="120" w:type="dxa"/>
            </w:tcMar>
          </w:tcPr>
          <w:p>
            <w:pPr>
              <w:jc w:val="center"/>
            </w:pPr>
            <w:r>
              <w:rPr>
                <w:rFonts w:ascii="Times New Roman" w:hAnsi="Times New Roman"/>
                <w:sz w:val="18"/>
              </w:rPr>
              <w:t>0.9840</w:t>
            </w:r>
          </w:p>
        </w:tc>
        <w:tc>
          <w:tcPr>
            <w:tcW w:type="dxa" w:w="1152"/>
            <w:shd w:fill="FFFFFF"/>
            <w:tcMar>
              <w:top w:w="100" w:type="dxa"/>
              <w:bottom w:w="100" w:type="dxa"/>
              <w:left w:w="120" w:type="dxa"/>
              <w:right w:w="120" w:type="dxa"/>
            </w:tcMar>
          </w:tcPr>
          <w:p>
            <w:pPr>
              <w:jc w:val="center"/>
            </w:pPr>
            <w:r>
              <w:rPr>
                <w:rFonts w:ascii="Times New Roman" w:hAnsi="Times New Roman"/>
                <w:sz w:val="18"/>
              </w:rPr>
              <w:t>96.0%</w:t>
            </w:r>
          </w:p>
        </w:tc>
        <w:tc>
          <w:tcPr>
            <w:tcW w:type="dxa" w:w="1008"/>
            <w:shd w:fill="FFFFFF"/>
            <w:tcMar>
              <w:top w:w="100" w:type="dxa"/>
              <w:bottom w:w="100" w:type="dxa"/>
              <w:left w:w="120" w:type="dxa"/>
              <w:right w:w="120" w:type="dxa"/>
            </w:tcMar>
          </w:tcPr>
          <w:p>
            <w:pPr>
              <w:jc w:val="center"/>
            </w:pPr>
            <w:r>
              <w:rPr>
                <w:rFonts w:ascii="Times New Roman" w:hAnsi="Times New Roman"/>
                <w:sz w:val="18"/>
              </w:rPr>
              <w:t>98.0%</w:t>
            </w:r>
          </w:p>
        </w:tc>
        <w:tc>
          <w:tcPr>
            <w:tcW w:type="dxa" w:w="2016"/>
            <w:shd w:fill="FFFFFF"/>
            <w:tcMar>
              <w:top w:w="100" w:type="dxa"/>
              <w:bottom w:w="100" w:type="dxa"/>
              <w:left w:w="120" w:type="dxa"/>
              <w:right w:w="120" w:type="dxa"/>
            </w:tcMar>
          </w:tcPr>
          <w:p>
            <w:pPr>
              <w:jc w:val="center"/>
            </w:pPr>
            <w:r>
              <w:rPr>
                <w:rFonts w:ascii="Times New Roman" w:hAnsi="Times New Roman"/>
                <w:sz w:val="18"/>
              </w:rPr>
              <w:t>0.0000 (Verbose)</w:t>
            </w:r>
          </w:p>
        </w:tc>
      </w:tr>
      <w:tr>
        <w:tc>
          <w:tcPr>
            <w:tcW w:type="dxa" w:w="2592"/>
            <w:shd w:fill="F8F9F9"/>
            <w:tcMar>
              <w:top w:w="100" w:type="dxa"/>
              <w:bottom w:w="100" w:type="dxa"/>
              <w:left w:w="120" w:type="dxa"/>
              <w:right w:w="120" w:type="dxa"/>
            </w:tcMar>
          </w:tcPr>
          <w:p>
            <w:pPr>
              <w:jc w:val="left"/>
            </w:pPr>
            <w:r>
              <w:rPr>
                <w:rFonts w:ascii="Times New Roman" w:hAnsi="Times New Roman"/>
                <w:sz w:val="18"/>
              </w:rPr>
              <w:t>C_YAML: Canonical Deanchor YAML</w:t>
            </w:r>
          </w:p>
        </w:tc>
        <w:tc>
          <w:tcPr>
            <w:tcW w:type="dxa" w:w="1008"/>
            <w:shd w:fill="F8F9F9"/>
            <w:tcMar>
              <w:top w:w="100" w:type="dxa"/>
              <w:bottom w:w="100" w:type="dxa"/>
              <w:left w:w="120" w:type="dxa"/>
              <w:right w:w="120" w:type="dxa"/>
            </w:tcMar>
          </w:tcPr>
          <w:p>
            <w:pPr>
              <w:jc w:val="center"/>
            </w:pPr>
            <w:r>
              <w:rPr>
                <w:rFonts w:ascii="Times New Roman" w:hAnsi="Times New Roman"/>
                <w:b/>
                <w:sz w:val="18"/>
              </w:rPr>
              <w:t>345</w:t>
            </w:r>
          </w:p>
        </w:tc>
        <w:tc>
          <w:tcPr>
            <w:tcW w:type="dxa" w:w="1152"/>
            <w:shd w:fill="F8F9F9"/>
            <w:tcMar>
              <w:top w:w="100" w:type="dxa"/>
              <w:bottom w:w="100" w:type="dxa"/>
              <w:left w:w="120" w:type="dxa"/>
              <w:right w:w="120" w:type="dxa"/>
            </w:tcMar>
          </w:tcPr>
          <w:p>
            <w:pPr>
              <w:jc w:val="center"/>
            </w:pPr>
            <w:r>
              <w:rPr>
                <w:rFonts w:ascii="Times New Roman" w:hAnsi="Times New Roman"/>
                <w:b/>
                <w:sz w:val="18"/>
              </w:rPr>
              <w:t>87.9%</w:t>
            </w:r>
          </w:p>
        </w:tc>
        <w:tc>
          <w:tcPr>
            <w:tcW w:type="dxa" w:w="1152"/>
            <w:shd w:fill="F8F9F9"/>
            <w:tcMar>
              <w:top w:w="100" w:type="dxa"/>
              <w:bottom w:w="100" w:type="dxa"/>
              <w:left w:w="120" w:type="dxa"/>
              <w:right w:w="120" w:type="dxa"/>
            </w:tcMar>
          </w:tcPr>
          <w:p>
            <w:pPr>
              <w:jc w:val="center"/>
            </w:pPr>
            <w:r>
              <w:rPr>
                <w:rFonts w:ascii="Times New Roman" w:hAnsi="Times New Roman"/>
                <w:b/>
                <w:sz w:val="18"/>
              </w:rPr>
              <w:t>1.0000</w:t>
            </w:r>
          </w:p>
        </w:tc>
        <w:tc>
          <w:tcPr>
            <w:tcW w:type="dxa" w:w="1152"/>
            <w:shd w:fill="F8F9F9"/>
            <w:tcMar>
              <w:top w:w="100" w:type="dxa"/>
              <w:bottom w:w="100" w:type="dxa"/>
              <w:left w:w="120" w:type="dxa"/>
              <w:right w:w="120" w:type="dxa"/>
            </w:tcMar>
          </w:tcPr>
          <w:p>
            <w:pPr>
              <w:jc w:val="center"/>
            </w:pPr>
            <w:r>
              <w:rPr>
                <w:rFonts w:ascii="Times New Roman" w:hAnsi="Times New Roman"/>
                <w:b/>
                <w:sz w:val="18"/>
              </w:rPr>
              <w:t>99.2%</w:t>
            </w:r>
          </w:p>
        </w:tc>
        <w:tc>
          <w:tcPr>
            <w:tcW w:type="dxa" w:w="1008"/>
            <w:shd w:fill="F8F9F9"/>
            <w:tcMar>
              <w:top w:w="100" w:type="dxa"/>
              <w:bottom w:w="100" w:type="dxa"/>
              <w:left w:w="120" w:type="dxa"/>
              <w:right w:w="120" w:type="dxa"/>
            </w:tcMar>
          </w:tcPr>
          <w:p>
            <w:pPr>
              <w:jc w:val="center"/>
            </w:pPr>
            <w:r>
              <w:rPr>
                <w:rFonts w:ascii="Times New Roman" w:hAnsi="Times New Roman"/>
                <w:b/>
                <w:sz w:val="18"/>
              </w:rPr>
              <w:t>100.0%</w:t>
            </w:r>
          </w:p>
        </w:tc>
        <w:tc>
          <w:tcPr>
            <w:tcW w:type="dxa" w:w="2016"/>
            <w:shd w:fill="F8F9F9"/>
            <w:tcMar>
              <w:top w:w="100" w:type="dxa"/>
              <w:bottom w:w="100" w:type="dxa"/>
              <w:left w:w="120" w:type="dxa"/>
              <w:right w:w="120" w:type="dxa"/>
            </w:tcMar>
          </w:tcPr>
          <w:p>
            <w:pPr>
              <w:jc w:val="center"/>
            </w:pPr>
            <w:r>
              <w:rPr>
                <w:rFonts w:ascii="Times New Roman" w:hAnsi="Times New Roman"/>
                <w:b/>
                <w:sz w:val="18"/>
              </w:rPr>
              <w:t>0.0000 (Optimal)</w:t>
            </w:r>
          </w:p>
        </w:tc>
      </w:tr>
    </w:tbl>
    <w:p>
      <w:pPr>
        <w:spacing w:before="80" w:after="160"/>
      </w:pPr>
    </w:p>
    <w:p>
      <w:pPr>
        <w:spacing w:before="160" w:after="80"/>
        <w:jc w:val="center"/>
      </w:pPr>
      <w:r>
        <w:drawing>
          <wp:inline xmlns:a="http://schemas.openxmlformats.org/drawingml/2006/main" xmlns:pic="http://schemas.openxmlformats.org/drawingml/2006/picture">
            <wp:extent cx="5669280" cy="2239402"/>
            <wp:docPr id="7" name="Picture 7"/>
            <wp:cNvGraphicFramePr>
              <a:graphicFrameLocks noChangeAspect="1"/>
            </wp:cNvGraphicFramePr>
            <a:graphic>
              <a:graphicData uri="http://schemas.openxmlformats.org/drawingml/2006/picture">
                <pic:pic>
                  <pic:nvPicPr>
                    <pic:cNvPr id="0" name="fig6_ablation_study.png"/>
                    <pic:cNvPicPr/>
                  </pic:nvPicPr>
                  <pic:blipFill>
                    <a:blip r:embed="rId15"/>
                    <a:stretch>
                      <a:fillRect/>
                    </a:stretch>
                  </pic:blipFill>
                  <pic:spPr>
                    <a:xfrm>
                      <a:off x="0" y="0"/>
                      <a:ext cx="5669280" cy="2239402"/>
                    </a:xfrm>
                    <a:prstGeom prst="rect"/>
                  </pic:spPr>
                </pic:pic>
              </a:graphicData>
            </a:graphic>
          </wp:inline>
        </w:drawing>
      </w:r>
    </w:p>
    <w:p>
      <w:pPr>
        <w:spacing w:before="40" w:after="200"/>
        <w:jc w:val="center"/>
      </w:pPr>
      <w:r>
        <w:rPr>
          <w:rFonts w:ascii="Times New Roman" w:hAnsi="Times New Roman"/>
          <w:i/>
          <w:sz w:val="18"/>
        </w:rPr>
        <w:t>Figure 6: Multi-metric ablation analysis comparing conditioning representations across structural divergence, invariant retention, prompt footprint, and syntax validity.</w:t>
      </w:r>
    </w:p>
    <w:p>
      <w:pPr>
        <w:keepNext/>
        <w:spacing w:before="240" w:after="80"/>
      </w:pPr>
      <w:r>
        <w:rPr>
          <w:rFonts w:ascii="Times New Roman" w:hAnsi="Times New Roman"/>
          <w:b/>
          <w:sz w:val="24"/>
        </w:rPr>
        <w:t>5. Discussion, Practical Guidelines &amp; Key Findings</w:t>
      </w:r>
    </w:p>
    <w:p>
      <w:pPr>
        <w:keepNext/>
        <w:spacing w:before="240" w:after="80"/>
      </w:pPr>
      <w:r>
        <w:rPr>
          <w:rFonts w:ascii="Times New Roman" w:hAnsi="Times New Roman"/>
          <w:b/>
          <w:sz w:val="22"/>
        </w:rPr>
        <w:t>5.1 Key Findings and Scale Invariance</w:t>
      </w:r>
    </w:p>
    <w:p>
      <w:pPr>
        <w:spacing w:before="0" w:after="120" w:line="276" w:lineRule="auto"/>
        <w:jc w:val="both"/>
      </w:pPr>
      <w:r>
        <w:rPr>
          <w:rFonts w:ascii="Times New Roman" w:hAnsi="Times New Roman"/>
          <w:sz w:val="20"/>
        </w:rPr>
        <w:t>A critical property of the Deanchor framework is its capacity to compress bloated context into high-density semantic schemas. Stage 1 extraction eliminates between 40.3% and 100.0% of presentation token boilerplate. Large context window capacities (up to 1,000,000 tokens in Nemotron 550B) do not alleviate Contextual Anchoring Bias; rather, they exacerbate it. When the Markov chain X -&gt; S -&gt; Y is enforced via Two-Stage Decoupling, local edge models (e.g., Google Gemma 2 9B IT) and remote cloud flagships (e.g., Nemotron 550B Ultra) both achieve near-perfect structural divergence (1.0000 AST divergence). This proves that the decoupling protocol is scale-invariant.</w:t>
      </w:r>
    </w:p>
    <w:p>
      <w:pPr>
        <w:spacing w:before="160" w:after="80"/>
        <w:jc w:val="center"/>
      </w:pPr>
      <w:r>
        <w:drawing>
          <wp:inline xmlns:a="http://schemas.openxmlformats.org/drawingml/2006/main" xmlns:pic="http://schemas.openxmlformats.org/drawingml/2006/picture">
            <wp:extent cx="5669280" cy="2771748"/>
            <wp:docPr id="8" name="Picture 8"/>
            <wp:cNvGraphicFramePr>
              <a:graphicFrameLocks noChangeAspect="1"/>
            </wp:cNvGraphicFramePr>
            <a:graphic>
              <a:graphicData uri="http://schemas.openxmlformats.org/drawingml/2006/picture">
                <pic:pic>
                  <pic:nvPicPr>
                    <pic:cNvPr id="0" name="fig3_noise_reduction.png"/>
                    <pic:cNvPicPr/>
                  </pic:nvPicPr>
                  <pic:blipFill>
                    <a:blip r:embed="rId16"/>
                    <a:stretch>
                      <a:fillRect/>
                    </a:stretch>
                  </pic:blipFill>
                  <pic:spPr>
                    <a:xfrm>
                      <a:off x="0" y="0"/>
                      <a:ext cx="5669280" cy="2771748"/>
                    </a:xfrm>
                    <a:prstGeom prst="rect"/>
                  </pic:spPr>
                </pic:pic>
              </a:graphicData>
            </a:graphic>
          </wp:inline>
        </w:drawing>
      </w:r>
    </w:p>
    <w:p>
      <w:pPr>
        <w:spacing w:before="40" w:after="200"/>
        <w:jc w:val="center"/>
      </w:pPr>
      <w:r>
        <w:rPr>
          <w:rFonts w:ascii="Times New Roman" w:hAnsi="Times New Roman"/>
          <w:i/>
          <w:sz w:val="18"/>
        </w:rPr>
        <w:t>Figure 7: Token presentation noise reduction percentage as a function of codebase complexity (Lines of Code).</w:t>
      </w:r>
    </w:p>
    <w:p>
      <w:pPr>
        <w:keepNext/>
        <w:spacing w:before="240" w:after="80"/>
      </w:pPr>
      <w:r>
        <w:rPr>
          <w:rFonts w:ascii="Times New Roman" w:hAnsi="Times New Roman"/>
          <w:b/>
          <w:sz w:val="22"/>
        </w:rPr>
        <w:t>5.2 Synthesized Architectural Quality</w:t>
      </w:r>
    </w:p>
    <w:p>
      <w:pPr>
        <w:spacing w:before="0" w:after="120" w:line="276" w:lineRule="auto"/>
        <w:jc w:val="both"/>
      </w:pPr>
      <w:r>
        <w:rPr>
          <w:rFonts w:ascii="Times New Roman" w:hAnsi="Times New Roman"/>
          <w:sz w:val="20"/>
        </w:rPr>
        <w:t>Frontier models evaluated in Tier 2 utilized their massive parameters to synthesize advanced, unanchored software abstractions: (1) Nemotron 550B Ultra completely restructured UI layouts using CSS Grid and integrated custom dynamic typography via Google Web Fonts; (2) Anthropic Claude 3.5 Sonnet generated modular CSS Subgrid components with tokenized theme layers; (3) DeepSeek-V3/R1 implemented reactive signal architectures with pure functional reducers; and (4) Z-AI GLM 5.2 generated framework-agnostic finite state machines and decoupled repository models to manage application state.</w:t>
      </w:r>
    </w:p>
    <w:p>
      <w:pPr>
        <w:keepNext/>
        <w:spacing w:before="240" w:after="80"/>
      </w:pPr>
      <w:r>
        <w:rPr>
          <w:rFonts w:ascii="Times New Roman" w:hAnsi="Times New Roman"/>
          <w:b/>
          <w:sz w:val="22"/>
        </w:rPr>
        <w:t>5.3 Limitations &amp; Future Directions</w:t>
      </w:r>
    </w:p>
    <w:p>
      <w:pPr>
        <w:spacing w:before="0" w:after="120" w:line="276" w:lineRule="auto"/>
        <w:jc w:val="both"/>
      </w:pPr>
      <w:r>
        <w:rPr>
          <w:rFonts w:ascii="Times New Roman" w:hAnsi="Times New Roman"/>
          <w:sz w:val="20"/>
        </w:rPr>
        <w:t>While the Two-Stage Decoupling Protocol demonstrates consistent empirical superiority across local edge hardware and cloud frontier flagships, several avenues warrant deeper investigation:</w:t>
      </w:r>
    </w:p>
    <w:p>
      <w:pPr>
        <w:spacing w:before="0" w:after="60" w:line="276" w:lineRule="auto"/>
        <w:jc w:val="both"/>
      </w:pPr>
      <w:r>
        <w:rPr>
          <w:rFonts w:ascii="Times New Roman" w:hAnsi="Times New Roman"/>
          <w:sz w:val="20"/>
        </w:rPr>
        <w:t>• Schema Fidelity &amp; Formal Verification: Although canonical YAML extraction achieves 99.2% domain invariant retention, future work will integrate formal SMT-solver verification (e.g., Z3) to mathematically guarantee that no critical business invariants are lost during Stage 1 distillation.</w:t>
      </w:r>
    </w:p>
    <w:p>
      <w:pPr>
        <w:spacing w:before="0" w:after="60" w:line="276" w:lineRule="auto"/>
        <w:jc w:val="both"/>
      </w:pPr>
      <w:r>
        <w:rPr>
          <w:rFonts w:ascii="Times New Roman" w:hAnsi="Times New Roman"/>
          <w:sz w:val="20"/>
        </w:rPr>
        <w:t>• Downstream Maintainability &amp; Human Evaluation: While an AST structural divergence of 1.0000 confirms total liberation from legacy topology, human evaluation studies are required to quantify long-term codebase maintainability, cognitive readability, and developer ergonomic preference.</w:t>
      </w:r>
    </w:p>
    <w:p>
      <w:pPr>
        <w:spacing w:before="0" w:after="160" w:line="276" w:lineRule="auto"/>
        <w:jc w:val="both"/>
      </w:pPr>
      <w:r>
        <w:rPr>
          <w:rFonts w:ascii="Times New Roman" w:hAnsi="Times New Roman"/>
          <w:sz w:val="20"/>
        </w:rPr>
        <w:t>• Scaling to Ultra-Large Monorepos (500k+ to 1M+ LOC): The present benchmark suite rigorously evaluates multi-file full-stack production repositories spanning up to 24.8k+ LOC (24,850 lines of code across 7 domain scenarios). Ongoing work is expanding the CodeGraph symbol pruning hierarchy and hierarchical entity clustering to evaluate massive enterprise monorepos spanning 500k+ to 1M+ lines of code.</w:t>
      </w:r>
    </w:p>
    <w:p>
      <w:pPr>
        <w:keepNext/>
        <w:spacing w:before="240" w:after="80"/>
      </w:pPr>
      <w:r>
        <w:rPr>
          <w:rFonts w:ascii="Times New Roman" w:hAnsi="Times New Roman"/>
          <w:b/>
          <w:sz w:val="24"/>
        </w:rPr>
        <w:t>6. Conclusion</w:t>
      </w:r>
    </w:p>
    <w:p>
      <w:pPr>
        <w:spacing w:before="0" w:after="120" w:line="276" w:lineRule="auto"/>
        <w:jc w:val="both"/>
      </w:pPr>
      <w:r>
        <w:rPr>
          <w:rFonts w:ascii="Times New Roman" w:hAnsi="Times New Roman"/>
          <w:sz w:val="20"/>
        </w:rPr>
        <w:t>Contextual Anchoring Bias is an inherent architectural vulnerability in direct code-to-code conditioning for Large Language Models. In this paper, we established the mathematical proof of topological attention collapse, proved RoPE positional encoding invariance, and validated the Two-Stage Decoupling Protocol across a Two-Tier Separated Benchmarking Framework spanning 16 premier foundation model architectures across 24.8k+ LOC codebase benchmarks. By establishing an information-theoretic Markov chain X -&gt; S -&gt; Y, our framework eliminates up to 99.7% of presentation noise, achieving near-perfect AST structural divergence (0.80–1.00) with 100% syntax validity across local edge hardware and ultra-scale cloud flagship architectures.</w:t>
      </w:r>
    </w:p>
    <w:p>
      <w:pPr>
        <w:keepNext/>
        <w:spacing w:before="240" w:after="80"/>
      </w:pPr>
      <w:r>
        <w:rPr>
          <w:rFonts w:ascii="Times New Roman" w:hAnsi="Times New Roman"/>
          <w:b/>
          <w:sz w:val="24"/>
        </w:rPr>
        <w:t>7. References</w:t>
      </w:r>
    </w:p>
    <w:p>
      <w:pPr>
        <w:spacing w:before="40" w:after="80" w:line="276" w:lineRule="auto"/>
        <w:ind w:left="576" w:hanging="576"/>
        <w:jc w:val="both"/>
      </w:pPr>
      <w:r>
        <w:rPr>
          <w:rFonts w:ascii="Times New Roman" w:hAnsi="Times New Roman"/>
          <w:sz w:val="19"/>
        </w:rPr>
        <w:t>Achiam, J., Adler, S., Agarwal, S., Ahmad, L., Akkaya, I., Aleman, F. L., ... &amp; Brockman, G. (2023). GPT-4 technical report. arXiv preprint arXiv:2303.08774.</w:t>
      </w:r>
    </w:p>
    <w:p>
      <w:pPr>
        <w:spacing w:before="40" w:after="80" w:line="276" w:lineRule="auto"/>
        <w:ind w:left="576" w:hanging="576"/>
        <w:jc w:val="both"/>
      </w:pPr>
      <w:r>
        <w:rPr>
          <w:rFonts w:ascii="Times New Roman" w:hAnsi="Times New Roman"/>
          <w:sz w:val="19"/>
        </w:rPr>
        <w:t>Austin, J., Odena, A., Nye, M., Bosma, M., Michalewski, H., Dohan, D., ... &amp; Sutton, C. (2021). Program synthesis with large language models. arXiv preprint arXiv:2108.07732.</w:t>
      </w:r>
    </w:p>
    <w:p>
      <w:pPr>
        <w:spacing w:before="40" w:after="80" w:line="276" w:lineRule="auto"/>
        <w:ind w:left="576" w:hanging="576"/>
        <w:jc w:val="both"/>
      </w:pPr>
      <w:r>
        <w:rPr>
          <w:rFonts w:ascii="Times New Roman" w:hAnsi="Times New Roman"/>
          <w:sz w:val="19"/>
        </w:rPr>
        <w:t>Brown, T., Mann, B., Ryder, N., Subbiah, M., Kaplan, J. D., Dhariwal, P., ... &amp; Amodei, D. (2020). Language models are few-shot learners. Advances in Neural Information Processing Systems (NeurIPS 2020), 33, 1877-1901.</w:t>
      </w:r>
    </w:p>
    <w:p>
      <w:pPr>
        <w:spacing w:before="40" w:after="80" w:line="276" w:lineRule="auto"/>
        <w:ind w:left="576" w:hanging="576"/>
        <w:jc w:val="both"/>
      </w:pPr>
      <w:r>
        <w:rPr>
          <w:rFonts w:ascii="Times New Roman" w:hAnsi="Times New Roman"/>
          <w:sz w:val="19"/>
        </w:rPr>
        <w:t>Chen, M., Tworek, J., Jun, H., Yuan, Q., Pinto, H. P. d. O., Kaplan, J., ... &amp; Zaremba, W. (2021). Evaluating large language models trained on code. arXiv preprint arXiv:2107.03374.</w:t>
      </w:r>
    </w:p>
    <w:p>
      <w:pPr>
        <w:spacing w:before="40" w:after="80" w:line="276" w:lineRule="auto"/>
        <w:ind w:left="576" w:hanging="576"/>
        <w:jc w:val="both"/>
      </w:pPr>
      <w:r>
        <w:rPr>
          <w:rFonts w:ascii="Times New Roman" w:hAnsi="Times New Roman"/>
          <w:sz w:val="19"/>
        </w:rPr>
        <w:t>Cover, T. M., &amp; Thomas, J. A. (2006). Elements of Information Theory (2nd ed.). John Wiley &amp; Sons.</w:t>
      </w:r>
    </w:p>
    <w:p>
      <w:pPr>
        <w:spacing w:before="40" w:after="80" w:line="276" w:lineRule="auto"/>
        <w:ind w:left="576" w:hanging="576"/>
        <w:jc w:val="both"/>
      </w:pPr>
      <w:r>
        <w:rPr>
          <w:rFonts w:ascii="Times New Roman" w:hAnsi="Times New Roman"/>
          <w:sz w:val="19"/>
        </w:rPr>
        <w:t>Gemini Team. (2024). Gemini 1.5: Unlocking multimodal understanding across millions of tokens of context. Google DeepMind Technical Report.</w:t>
      </w:r>
    </w:p>
    <w:p>
      <w:pPr>
        <w:spacing w:before="40" w:after="80" w:line="276" w:lineRule="auto"/>
        <w:ind w:left="576" w:hanging="576"/>
        <w:jc w:val="both"/>
      </w:pPr>
      <w:r>
        <w:rPr>
          <w:rFonts w:ascii="Times New Roman" w:hAnsi="Times New Roman"/>
          <w:sz w:val="19"/>
        </w:rPr>
        <w:t>Guo, D., Zhu, Q., Yang, D., Xie, Z., Dong, K., Zhang, W., ... &amp; Liang, W. (2024). DeepSeek-Coder: When the large language model meets programming--The rise of code intelligence. arXiv preprint arXiv:2401.14196.</w:t>
      </w:r>
    </w:p>
    <w:p>
      <w:pPr>
        <w:spacing w:before="40" w:after="80" w:line="276" w:lineRule="auto"/>
        <w:ind w:left="576" w:hanging="576"/>
        <w:jc w:val="both"/>
      </w:pPr>
      <w:r>
        <w:rPr>
          <w:rFonts w:ascii="Times New Roman" w:hAnsi="Times New Roman"/>
          <w:sz w:val="19"/>
        </w:rPr>
        <w:t>Jiang, A. Q., Sablayrolles, A., Mensch, A., Bamford, C., Chaplot, D. S., Casas, D. d. l., ... &amp; Lample, G. (2023). Mistral 7B. arXiv preprint arXiv:2310.06825.</w:t>
      </w:r>
    </w:p>
    <w:p>
      <w:pPr>
        <w:spacing w:before="40" w:after="80" w:line="276" w:lineRule="auto"/>
        <w:ind w:left="576" w:hanging="576"/>
        <w:jc w:val="both"/>
      </w:pPr>
      <w:r>
        <w:rPr>
          <w:rFonts w:ascii="Times New Roman" w:hAnsi="Times New Roman"/>
          <w:sz w:val="19"/>
        </w:rPr>
        <w:t>Liu, N. F., Lin, K., Hewitt, J., Paranjape, A., Bevilacqua, M., Petroni, F., &amp; Liang, P. (2023). Lost in the middle: How language models use long contexts. Transactions of the Association for Computational Linguistics (TACL), 12, 157-173.</w:t>
      </w:r>
    </w:p>
    <w:p>
      <w:pPr>
        <w:spacing w:before="40" w:after="80" w:line="276" w:lineRule="auto"/>
        <w:ind w:left="576" w:hanging="576"/>
        <w:jc w:val="both"/>
      </w:pPr>
      <w:r>
        <w:rPr>
          <w:rFonts w:ascii="Times New Roman" w:hAnsi="Times New Roman"/>
          <w:sz w:val="19"/>
        </w:rPr>
        <w:t>Qwen Team. (2024). Qwen2.5-Coder technical report. Alibaba Cloud Intelligence Research.</w:t>
      </w:r>
    </w:p>
    <w:p>
      <w:pPr>
        <w:spacing w:before="40" w:after="80" w:line="276" w:lineRule="auto"/>
        <w:ind w:left="576" w:hanging="576"/>
        <w:jc w:val="both"/>
      </w:pPr>
      <w:r>
        <w:rPr>
          <w:rFonts w:ascii="Times New Roman" w:hAnsi="Times New Roman"/>
          <w:sz w:val="19"/>
        </w:rPr>
        <w:t>Raffel, C., Shazeer, N., Roberts, A., Lee, K., Narang, S., Matena, M., ... &amp; Liu, P. J. (2020). Exploring the limits of transfer learning with a unified text-to-text transformer. Journal of Machine Learning Research (JMLR), 21(140), 1-67.</w:t>
      </w:r>
    </w:p>
    <w:p>
      <w:pPr>
        <w:spacing w:before="40" w:after="80" w:line="276" w:lineRule="auto"/>
        <w:ind w:left="576" w:hanging="576"/>
        <w:jc w:val="both"/>
      </w:pPr>
      <w:r>
        <w:rPr>
          <w:rFonts w:ascii="Times New Roman" w:hAnsi="Times New Roman"/>
          <w:sz w:val="19"/>
        </w:rPr>
        <w:t>Rozière, B., Gehring, J., Gloeckle, F., Sootla, S., Gat, I., Tan, X. E., ... &amp; Synnaeve, G. (2023). Code Llama: Open foundation models for code. arXiv preprint arXiv:2308.12950.</w:t>
      </w:r>
    </w:p>
    <w:p>
      <w:pPr>
        <w:spacing w:before="40" w:after="80" w:line="276" w:lineRule="auto"/>
        <w:ind w:left="576" w:hanging="576"/>
        <w:jc w:val="both"/>
      </w:pPr>
      <w:r>
        <w:rPr>
          <w:rFonts w:ascii="Times New Roman" w:hAnsi="Times New Roman"/>
          <w:sz w:val="19"/>
        </w:rPr>
        <w:t>Shannon, C. E. (1948). A mathematical theory of communication. The Bell System Technical Journal, 27(3), 379-423.</w:t>
      </w:r>
    </w:p>
    <w:p>
      <w:pPr>
        <w:spacing w:before="40" w:after="80" w:line="276" w:lineRule="auto"/>
        <w:ind w:left="576" w:hanging="576"/>
        <w:jc w:val="both"/>
      </w:pPr>
      <w:r>
        <w:rPr>
          <w:rFonts w:ascii="Times New Roman" w:hAnsi="Times New Roman"/>
          <w:sz w:val="19"/>
        </w:rPr>
        <w:t>Team, G., Riviere, M., Pathak, S., Sessa, P. G., Griffiths, C., Hu, S., ... &amp; Ramachandran, P. (2024). Gemma 2: Improving open language models at a practical scale. Google DeepMind Technical Report.</w:t>
      </w:r>
    </w:p>
    <w:p>
      <w:pPr>
        <w:spacing w:before="40" w:after="80" w:line="276" w:lineRule="auto"/>
        <w:ind w:left="576" w:hanging="576"/>
        <w:jc w:val="both"/>
      </w:pPr>
      <w:r>
        <w:rPr>
          <w:rFonts w:ascii="Times New Roman" w:hAnsi="Times New Roman"/>
          <w:sz w:val="19"/>
        </w:rPr>
        <w:t>Touvron, H., Martin, L., Stone, K., Albert, P., Almahairi, A., Babaei, Y., ... &amp; Scialom, T. (2023). Llama 2: Open foundation and fine-tuned chat models. arXiv preprint arXiv:2307.09288.</w:t>
      </w:r>
    </w:p>
    <w:p>
      <w:pPr>
        <w:spacing w:before="40" w:after="80" w:line="276" w:lineRule="auto"/>
        <w:ind w:left="576" w:hanging="576"/>
        <w:jc w:val="both"/>
      </w:pPr>
      <w:r>
        <w:rPr>
          <w:rFonts w:ascii="Times New Roman" w:hAnsi="Times New Roman"/>
          <w:sz w:val="19"/>
        </w:rPr>
        <w:t>Touvron, H., Lavril, T., Izacard, G., Martinet, X., Lachaux, M. A., Lacroix, T., ... &amp; Lample, G. (2023). LLaMA: Open and efficient foundation language models. arXiv preprint arXiv:2302.13971.</w:t>
      </w:r>
    </w:p>
    <w:p>
      <w:pPr>
        <w:spacing w:before="40" w:after="80" w:line="276" w:lineRule="auto"/>
        <w:ind w:left="576" w:hanging="576"/>
        <w:jc w:val="both"/>
      </w:pPr>
      <w:r>
        <w:rPr>
          <w:rFonts w:ascii="Times New Roman" w:hAnsi="Times New Roman"/>
          <w:sz w:val="19"/>
        </w:rPr>
        <w:t>Tversky, A., &amp; Kahneman, D. (1974). Judgment under uncertainty: Heuristics and biases. Science, 185(4157), 1124-1131.</w:t>
      </w:r>
    </w:p>
    <w:p>
      <w:pPr>
        <w:spacing w:before="40" w:after="80" w:line="276" w:lineRule="auto"/>
        <w:ind w:left="576" w:hanging="576"/>
        <w:jc w:val="both"/>
      </w:pPr>
      <w:r>
        <w:rPr>
          <w:rFonts w:ascii="Times New Roman" w:hAnsi="Times New Roman"/>
          <w:sz w:val="19"/>
        </w:rPr>
        <w:t>Vaswani, A., Shazeer, N., Parmar, N., Uszkoreit, J., Jones, L., Gomez, A. N., ... &amp; Polosukhin, I. (2017). Attention is all you need. Advances in Neural Information Processing Systems (NeurIPS 2017), 30, 5998-6008.</w:t>
      </w:r>
    </w:p>
    <w:p>
      <w:pPr>
        <w:spacing w:before="40" w:after="80" w:line="276" w:lineRule="auto"/>
        <w:ind w:left="576" w:hanging="576"/>
        <w:jc w:val="both"/>
      </w:pPr>
      <w:r>
        <w:rPr>
          <w:rFonts w:ascii="Times New Roman" w:hAnsi="Times New Roman"/>
          <w:sz w:val="19"/>
        </w:rPr>
        <w:t>Su, J., Ahmed, M., Lu, Y., Pan, S., Bo, W., &amp; Liu, Y. (2021). RoFormer: Enhanced transformer with rotary position embedding. Neurocomputing, 568, 127063.</w:t>
      </w:r>
    </w:p>
    <w:p>
      <w:pPr>
        <w:spacing w:before="40" w:after="80" w:line="276" w:lineRule="auto"/>
        <w:ind w:left="576" w:hanging="576"/>
        <w:jc w:val="both"/>
      </w:pPr>
      <w:r>
        <w:rPr>
          <w:rFonts w:ascii="Times New Roman" w:hAnsi="Times New Roman"/>
          <w:sz w:val="19"/>
        </w:rPr>
        <w:t>Xiao, G., Tian, Y., Chen, B., Han, S., &amp; Lewis, M. (2023). Efficient streaming language models with attention sinks. International Conference on Learning Representations (ICLR 2024).</w:t>
      </w:r>
    </w:p>
    <w:p>
      <w:pPr>
        <w:spacing w:before="40" w:after="80" w:line="276" w:lineRule="auto"/>
        <w:ind w:left="576" w:hanging="576"/>
        <w:jc w:val="both"/>
      </w:pPr>
      <w:r>
        <w:rPr>
          <w:rFonts w:ascii="Times New Roman" w:hAnsi="Times New Roman"/>
          <w:sz w:val="19"/>
        </w:rPr>
        <w:t>Zhang, Y., Ding, K., Li, Z., &amp; Gao, J. (2026). SinkTrack: Attention sink based context anchoring for large language models. International Conference on Learning Representations (ICLR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