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AgentFlow — System Architecture &amp; Detailed Design</w:t>
      </w:r>
    </w:p>
    <w:p>
      <w:pPr>
        <w:jc w:val="center"/>
      </w:pPr>
      <w:r>
        <w:rPr>
          <w:i/>
        </w:rPr>
        <w:t>AgentFlow — AI Business Operations Platform</w:t>
        <w:br/>
        <w:t>Technical Documentation</w:t>
      </w:r>
    </w:p>
    <w:p/>
    <w:p>
      <w:pPr>
        <w:pStyle w:val="Heading1"/>
      </w:pPr>
      <w:r>
        <w:t>1. Logical Architecture</w:t>
      </w:r>
    </w:p>
    <w:p>
      <w:r>
        <w:rPr>
          <w:rFonts w:ascii="Courier New" w:hAnsi="Courier New"/>
          <w:sz w:val="17"/>
        </w:rPr>
        <w:t xml:space="preserve">                        Web / API Clients</w:t>
        <w:br/>
        <w:t xml:space="preserve">                              |</w:t>
        <w:br/>
        <w:t xml:space="preserve">                         API Gateway</w:t>
        <w:br/>
        <w:t xml:space="preserve">                              |</w:t>
        <w:br/>
        <w:t xml:space="preserve">                       FastAPI Application</w:t>
        <w:br/>
        <w:t xml:space="preserve">                _________/____|____\_________</w:t>
        <w:br/>
        <w:t xml:space="preserve">               /              |               \</w:t>
        <w:br/>
        <w:t xml:space="preserve">        Auth/Tenant       Workflow API      Admin API</w:t>
        <w:br/>
        <w:t xml:space="preserve">               \              |               /</w:t>
        <w:br/>
        <w:t xml:space="preserve">                \_______ PostgreSQL ________/</w:t>
        <w:br/>
        <w:t xml:space="preserve">                              |</w:t>
        <w:br/>
        <w:t xml:space="preserve">                         Event Bus</w:t>
        <w:br/>
        <w:t xml:space="preserve">                     EventBridge / SQS</w:t>
        <w:br/>
        <w:t xml:space="preserve">                              |</w:t>
        <w:br/>
        <w:t xml:space="preserve">             +----------------+----------------+</w:t>
        <w:br/>
        <w:t xml:space="preserve">             |                                 |</w:t>
        <w:br/>
        <w:t xml:space="preserve">       Agent Runtime                      Async Workers</w:t>
        <w:br/>
        <w:t xml:space="preserve">             |                                 |</w:t>
        <w:br/>
        <w:t xml:space="preserve">       LangGraph                           SQS workers</w:t>
        <w:br/>
        <w:t xml:space="preserve">             |</w:t>
        <w:br/>
        <w:t xml:space="preserve">      +------+------+------+------+</w:t>
        <w:br/>
        <w:t xml:space="preserve">      |      |      |      |      |</w:t>
        <w:br/>
        <w:t xml:space="preserve">    Triage Research Knowledge Policy Execution</w:t>
        <w:br/>
        <w:t xml:space="preserve">      |      |      |      |      |</w:t>
        <w:br/>
        <w:t xml:space="preserve">      +------+------+-+----+------+</w:t>
        <w:br/>
        <w:t xml:space="preserve">                       |</w:t>
        <w:br/>
        <w:t xml:space="preserve">                  Tool Gateway</w:t>
        <w:br/>
        <w:t xml:space="preserve">                MCP / governed APIs</w:t>
        <w:br/>
        <w:t xml:space="preserve">                       |</w:t>
        <w:br/>
        <w:t xml:space="preserve">       +---------------+----------------+</w:t>
        <w:br/>
        <w:t xml:space="preserve">       |         |         |            |</w:t>
        <w:br/>
        <w:t xml:space="preserve">      CRM      Email    Calendar      Tickets</w:t>
        <w:br/>
        <w:br/>
        <w:t>Data:</w:t>
        <w:br/>
        <w:t>S3 -&gt; document ingestion -&gt; parsing -&gt; chunking -&gt; embeddings -&gt; PostgreSQL/pgvector</w:t>
        <w:br/>
        <w:t>All services -&gt; OpenTelemetry -&gt; CloudWatch / observability backend</w:t>
      </w:r>
    </w:p>
    <w:p>
      <w:pPr>
        <w:pStyle w:val="Heading1"/>
      </w:pPr>
      <w:r>
        <w:t>2. Deployment Topology</w:t>
      </w:r>
    </w:p>
    <w:p>
      <w:pPr>
        <w:pStyle w:val="ListBullet"/>
      </w:pPr>
      <w:r>
        <w:t>CloudFront/WAF for public web traffic.</w:t>
      </w:r>
    </w:p>
    <w:p>
      <w:pPr>
        <w:pStyle w:val="ListBullet"/>
      </w:pPr>
      <w:r>
        <w:t>API Gateway or ALB in front of stateless FastAPI services.</w:t>
      </w:r>
    </w:p>
    <w:p>
      <w:pPr>
        <w:pStyle w:val="ListBullet"/>
      </w:pPr>
      <w:r>
        <w:t>ECS/Fargate for predictable API/worker workloads; AgentCore Runtime for agent workloads where managed isolated agent execution is advantageous.</w:t>
      </w:r>
    </w:p>
    <w:p>
      <w:pPr>
        <w:pStyle w:val="ListBullet"/>
      </w:pPr>
      <w:r>
        <w:t>RDS/Aurora PostgreSQL for transactional state and pgvector retrieval.</w:t>
      </w:r>
    </w:p>
    <w:p>
      <w:pPr>
        <w:pStyle w:val="ListBullet"/>
      </w:pPr>
      <w:r>
        <w:t>S3 for documents, artifacts, exports, and immutable audit archives where required.</w:t>
      </w:r>
    </w:p>
    <w:p>
      <w:pPr>
        <w:pStyle w:val="ListBullet"/>
      </w:pPr>
      <w:r>
        <w:t>SQS queues for asynchronous jobs and retries; DLQs for poison messages.</w:t>
      </w:r>
    </w:p>
    <w:p>
      <w:pPr>
        <w:pStyle w:val="ListBullet"/>
      </w:pPr>
      <w:r>
        <w:t>EventBridge for domain events and automation triggers.</w:t>
      </w:r>
    </w:p>
    <w:p>
      <w:pPr>
        <w:pStyle w:val="ListBullet"/>
      </w:pPr>
      <w:r>
        <w:t>Step Functions for long-running infrastructure workflows and human approval orchestration where appropriate.</w:t>
      </w:r>
    </w:p>
    <w:p>
      <w:pPr>
        <w:pStyle w:val="ListBullet"/>
      </w:pPr>
      <w:r>
        <w:t>CloudWatch + OpenTelemetry for metrics, traces, and logs.</w:t>
      </w:r>
    </w:p>
    <w:p>
      <w:pPr>
        <w:pStyle w:val="Heading1"/>
      </w:pPr>
      <w:r>
        <w:t>3. Domain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Responsibilities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Users, organizations, roles, sessions, integration identities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Workflow state, graph execution, retries, checkpoints</w:t>
            </w:r>
          </w:p>
        </w:tc>
      </w:tr>
      <w:tr>
        <w:tc>
          <w:tcPr>
            <w:tcW w:type="dxa" w:w="4968"/>
          </w:tcPr>
          <w:p>
            <w:r>
              <w:t>Knowledge</w:t>
            </w:r>
          </w:p>
        </w:tc>
        <w:tc>
          <w:tcPr>
            <w:tcW w:type="dxa" w:w="4968"/>
          </w:tcPr>
          <w:p>
            <w:r>
              <w:t>Sources, ingestion, retrieval, citations, document ACLs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Agent definitions, prompts, model routing, capabilities</w:t>
            </w:r>
          </w:p>
        </w:tc>
      </w:tr>
      <w:tr>
        <w:tc>
          <w:tcPr>
            <w:tcW w:type="dxa" w:w="4968"/>
          </w:tcPr>
          <w:p>
            <w:r>
              <w:t>Tooling</w:t>
            </w:r>
          </w:p>
        </w:tc>
        <w:tc>
          <w:tcPr>
            <w:tcW w:type="dxa" w:w="4968"/>
          </w:tcPr>
          <w:p>
            <w:r>
              <w:t>Tool registry, schemas, permissions, execution, idempotency</w:t>
            </w:r>
          </w:p>
        </w:tc>
      </w:tr>
      <w:tr>
        <w:tc>
          <w:tcPr>
            <w:tcW w:type="dxa" w:w="4968"/>
          </w:tcPr>
          <w:p>
            <w:r>
              <w:t>Policy</w:t>
            </w:r>
          </w:p>
        </w:tc>
        <w:tc>
          <w:tcPr>
            <w:tcW w:type="dxa" w:w="4968"/>
          </w:tcPr>
          <w:p>
            <w:r>
              <w:t>Risk classification, allow/deny/approval rules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Approval requests, reviewers, expiry, resumption</w:t>
            </w:r>
          </w:p>
        </w:tc>
      </w:tr>
      <w:tr>
        <w:tc>
          <w:tcPr>
            <w:tcW w:type="dxa" w:w="4968"/>
          </w:tcPr>
          <w:p>
            <w:r>
              <w:t>Automation</w:t>
            </w:r>
          </w:p>
        </w:tc>
        <w:tc>
          <w:tcPr>
            <w:tcW w:type="dxa" w:w="4968"/>
          </w:tcPr>
          <w:p>
            <w:r>
              <w:t>Triggers, conditions, actions, schedules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Immutable event history and actor/action records</w:t>
            </w:r>
          </w:p>
        </w:tc>
      </w:tr>
      <w:tr>
        <w:tc>
          <w:tcPr>
            <w:tcW w:type="dxa" w:w="4968"/>
          </w:tcPr>
          <w:p>
            <w:r>
              <w:t>Evaluation</w:t>
            </w:r>
          </w:p>
        </w:tc>
        <w:tc>
          <w:tcPr>
            <w:tcW w:type="dxa" w:w="4968"/>
          </w:tcPr>
          <w:p>
            <w:r>
              <w:t>Datasets, test cases, runs, scores, regression gates</w:t>
            </w:r>
          </w:p>
        </w:tc>
      </w:tr>
      <w:tr>
        <w:tc>
          <w:tcPr>
            <w:tcW w:type="dxa" w:w="4968"/>
          </w:tcPr>
          <w:p>
            <w:r>
              <w:t>Billing/Usage</w:t>
            </w:r>
          </w:p>
        </w:tc>
        <w:tc>
          <w:tcPr>
            <w:tcW w:type="dxa" w:w="4968"/>
          </w:tcPr>
          <w:p>
            <w:r>
              <w:t>Quotas, token usage, workflow counts, cost attribution</w:t>
            </w:r>
          </w:p>
        </w:tc>
      </w:tr>
    </w:tbl>
    <w:p>
      <w:pPr>
        <w:pStyle w:val="Heading1"/>
      </w:pPr>
      <w:r>
        <w:t>4.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Important fields</w:t>
            </w:r>
          </w:p>
        </w:tc>
      </w:tr>
      <w:tr>
        <w:tc>
          <w:tcPr>
            <w:tcW w:type="dxa" w:w="4968"/>
          </w:tcPr>
          <w:p>
            <w:r>
              <w:t>Organization</w:t>
            </w:r>
          </w:p>
        </w:tc>
        <w:tc>
          <w:tcPr>
            <w:tcW w:type="dxa" w:w="4968"/>
          </w:tcPr>
          <w:p>
            <w:r>
              <w:t>id, name, plan, status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id, identity_provider_id, status</w:t>
            </w:r>
          </w:p>
        </w:tc>
      </w:tr>
      <w:tr>
        <w:tc>
          <w:tcPr>
            <w:tcW w:type="dxa" w:w="4968"/>
          </w:tcPr>
          <w:p>
            <w:r>
              <w:t>Membership</w:t>
            </w:r>
          </w:p>
        </w:tc>
        <w:tc>
          <w:tcPr>
            <w:tcW w:type="dxa" w:w="4968"/>
          </w:tcPr>
          <w:p>
            <w:r>
              <w:t>org_id, user_id, role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id, org_id, provider, credential_ref, status</w:t>
            </w:r>
          </w:p>
        </w:tc>
      </w:tr>
      <w:tr>
        <w:tc>
          <w:tcPr>
            <w:tcW w:type="dxa" w:w="4968"/>
          </w:tcPr>
          <w:p>
            <w:r>
              <w:t>KnowledgeSource</w:t>
            </w:r>
          </w:p>
        </w:tc>
        <w:tc>
          <w:tcPr>
            <w:tcW w:type="dxa" w:w="4968"/>
          </w:tcPr>
          <w:p>
            <w:r>
              <w:t>id, org_id, type, uri, ACL, status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id, source_id, checksum, version, metadata</w:t>
            </w:r>
          </w:p>
        </w:tc>
      </w:tr>
      <w:tr>
        <w:tc>
          <w:tcPr>
            <w:tcW w:type="dxa" w:w="4968"/>
          </w:tcPr>
          <w:p>
            <w:r>
              <w:t>Chunk</w:t>
            </w:r>
          </w:p>
        </w:tc>
        <w:tc>
          <w:tcPr>
            <w:tcW w:type="dxa" w:w="4968"/>
          </w:tcPr>
          <w:p>
            <w:r>
              <w:t>id, document_id, content, embedding, metadata</w:t>
            </w:r>
          </w:p>
        </w:tc>
      </w:tr>
      <w:tr>
        <w:tc>
          <w:tcPr>
            <w:tcW w:type="dxa" w:w="4968"/>
          </w:tcPr>
          <w:p>
            <w:r>
              <w:t>Conversation</w:t>
            </w:r>
          </w:p>
        </w:tc>
        <w:tc>
          <w:tcPr>
            <w:tcW w:type="dxa" w:w="4968"/>
          </w:tcPr>
          <w:p>
            <w:r>
              <w:t>id, org_id, requester_id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id, org_id, type, status, idempotency_key, started_at, ended_at</w:t>
            </w:r>
          </w:p>
        </w:tc>
      </w:tr>
      <w:tr>
        <w:tc>
          <w:tcPr>
            <w:tcW w:type="dxa" w:w="4968"/>
          </w:tcPr>
          <w:p>
            <w:r>
              <w:t>WorkflowStep</w:t>
            </w:r>
          </w:p>
        </w:tc>
        <w:tc>
          <w:tcPr>
            <w:tcW w:type="dxa" w:w="4968"/>
          </w:tcPr>
          <w:p>
            <w:r>
              <w:t>id, workflow_id, node, status, attempt, input_ref, output_ref</w:t>
            </w:r>
          </w:p>
        </w:tc>
      </w:tr>
      <w:tr>
        <w:tc>
          <w:tcPr>
            <w:tcW w:type="dxa" w:w="4968"/>
          </w:tcPr>
          <w:p>
            <w:r>
              <w:t>AgentRun</w:t>
            </w:r>
          </w:p>
        </w:tc>
        <w:tc>
          <w:tcPr>
            <w:tcW w:type="dxa" w:w="4968"/>
          </w:tcPr>
          <w:p>
            <w:r>
              <w:t>id, workflow_step_id, agent_type, model, latency, token_usage</w:t>
            </w:r>
          </w:p>
        </w:tc>
      </w:tr>
      <w:tr>
        <w:tc>
          <w:tcPr>
            <w:tcW w:type="dxa" w:w="4968"/>
          </w:tcPr>
          <w:p>
            <w:r>
              <w:t>ToolDefinition</w:t>
            </w:r>
          </w:p>
        </w:tc>
        <w:tc>
          <w:tcPr>
            <w:tcW w:type="dxa" w:w="4968"/>
          </w:tcPr>
          <w:p>
            <w:r>
              <w:t>id, name, version, schema, risk_level</w:t>
            </w:r>
          </w:p>
        </w:tc>
      </w:tr>
      <w:tr>
        <w:tc>
          <w:tcPr>
            <w:tcW w:type="dxa" w:w="4968"/>
          </w:tcPr>
          <w:p>
            <w:r>
              <w:t>ToolExecution</w:t>
            </w:r>
          </w:p>
        </w:tc>
        <w:tc>
          <w:tcPr>
            <w:tcW w:type="dxa" w:w="4968"/>
          </w:tcPr>
          <w:p>
            <w:r>
              <w:t>id, workflow_id, tool_id, idempotency_key, status</w:t>
            </w:r>
          </w:p>
        </w:tc>
      </w:tr>
      <w:tr>
        <w:tc>
          <w:tcPr>
            <w:tcW w:type="dxa" w:w="4968"/>
          </w:tcPr>
          <w:p>
            <w:r>
              <w:t>Policy</w:t>
            </w:r>
          </w:p>
        </w:tc>
        <w:tc>
          <w:tcPr>
            <w:tcW w:type="dxa" w:w="4968"/>
          </w:tcPr>
          <w:p>
            <w:r>
              <w:t>id, org_id, version, rules, status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id, workflow_id, action, risk, reviewer, status, expires_at</w:t>
            </w:r>
          </w:p>
        </w:tc>
      </w:tr>
      <w:tr>
        <w:tc>
          <w:tcPr>
            <w:tcW w:type="dxa" w:w="4968"/>
          </w:tcPr>
          <w:p>
            <w:r>
              <w:t>AuditEvent</w:t>
            </w:r>
          </w:p>
        </w:tc>
        <w:tc>
          <w:tcPr>
            <w:tcW w:type="dxa" w:w="4968"/>
          </w:tcPr>
          <w:p>
            <w:r>
              <w:t>id, org_id, actor, action, target, timestamp, metadata</w:t>
            </w:r>
          </w:p>
        </w:tc>
      </w:tr>
      <w:tr>
        <w:tc>
          <w:tcPr>
            <w:tcW w:type="dxa" w:w="4968"/>
          </w:tcPr>
          <w:p>
            <w:r>
              <w:t>EvaluationCase</w:t>
            </w:r>
          </w:p>
        </w:tc>
        <w:tc>
          <w:tcPr>
            <w:tcW w:type="dxa" w:w="4968"/>
          </w:tcPr>
          <w:p>
            <w:r>
              <w:t>id, dataset_id, input, expected, tags</w:t>
            </w:r>
          </w:p>
        </w:tc>
      </w:tr>
    </w:tbl>
    <w:p>
      <w:pPr>
        <w:pStyle w:val="Heading1"/>
      </w:pPr>
      <w:r>
        <w:t>5. Tenant Isolation</w:t>
      </w:r>
    </w:p>
    <w:p>
      <w:pPr>
        <w:pStyle w:val="ListBullet"/>
      </w:pPr>
      <w:r>
        <w:t>Every tenant-owned row carries org_id.</w:t>
      </w:r>
    </w:p>
    <w:p>
      <w:pPr>
        <w:pStyle w:val="ListBullet"/>
      </w:pPr>
      <w:r>
        <w:t>Application authorization checks org membership before every data access.</w:t>
      </w:r>
    </w:p>
    <w:p>
      <w:pPr>
        <w:pStyle w:val="ListBullet"/>
      </w:pPr>
      <w:r>
        <w:t>Database Row-Level Security is a defense-in-depth layer.</w:t>
      </w:r>
    </w:p>
    <w:p>
      <w:pPr>
        <w:pStyle w:val="ListBullet"/>
      </w:pPr>
      <w:r>
        <w:t>Tool credentials are tenant-scoped and never exposed to model prompts.</w:t>
      </w:r>
    </w:p>
    <w:p>
      <w:pPr>
        <w:pStyle w:val="ListBullet"/>
      </w:pPr>
      <w:r>
        <w:t>Retrieval queries always include tenant and document ACL filters.</w:t>
      </w:r>
    </w:p>
    <w:p>
      <w:pPr>
        <w:pStyle w:val="ListBullet"/>
      </w:pPr>
      <w:r>
        <w:t>Object storage prefixes are tenant-scoped and protected by IAM conditions where practical.</w:t>
      </w:r>
    </w:p>
    <w:p>
      <w:pPr>
        <w:pStyle w:val="ListBullet"/>
      </w:pPr>
      <w:r>
        <w:t>Automated tests attempt cross-tenant reads/writes on every sensitive repository.</w:t>
      </w:r>
    </w:p>
    <w:p>
      <w:pPr>
        <w:pStyle w:val="Heading1"/>
      </w:pPr>
      <w:r>
        <w:t>6.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/v1/workflows</w:t>
            </w:r>
          </w:p>
        </w:tc>
        <w:tc>
          <w:tcPr>
            <w:tcW w:type="dxa" w:w="3312"/>
          </w:tcPr>
          <w:p>
            <w:r>
              <w:t>Start workflow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/v1/workflows/{id}</w:t>
            </w:r>
          </w:p>
        </w:tc>
        <w:tc>
          <w:tcPr>
            <w:tcW w:type="dxa" w:w="3312"/>
          </w:tcPr>
          <w:p>
            <w:r>
              <w:t>Get workflow state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/v1/workflows/{id}/cancel</w:t>
            </w:r>
          </w:p>
        </w:tc>
        <w:tc>
          <w:tcPr>
            <w:tcW w:type="dxa" w:w="3312"/>
          </w:tcPr>
          <w:p>
            <w:r>
              <w:t>Cancel workflow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/v1/approvals/{id}/approve</w:t>
            </w:r>
          </w:p>
        </w:tc>
        <w:tc>
          <w:tcPr>
            <w:tcW w:type="dxa" w:w="3312"/>
          </w:tcPr>
          <w:p>
            <w:r>
              <w:t>Approve action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/v1/approvals/{id}/reject</w:t>
            </w:r>
          </w:p>
        </w:tc>
        <w:tc>
          <w:tcPr>
            <w:tcW w:type="dxa" w:w="3312"/>
          </w:tcPr>
          <w:p>
            <w:r>
              <w:t>Reject action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/v1/knowledge/sources</w:t>
            </w:r>
          </w:p>
        </w:tc>
        <w:tc>
          <w:tcPr>
            <w:tcW w:type="dxa" w:w="3312"/>
          </w:tcPr>
          <w:p>
            <w:r>
              <w:t>Register knowledge source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/v1/knowledge/ingestions</w:t>
            </w:r>
          </w:p>
        </w:tc>
        <w:tc>
          <w:tcPr>
            <w:tcW w:type="dxa" w:w="3312"/>
          </w:tcPr>
          <w:p>
            <w:r>
              <w:t>Start ingestion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/v1/audit/events</w:t>
            </w:r>
          </w:p>
        </w:tc>
        <w:tc>
          <w:tcPr>
            <w:tcW w:type="dxa" w:w="3312"/>
          </w:tcPr>
          <w:p>
            <w:r>
              <w:t>Query audit trail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/v1/usage</w:t>
            </w:r>
          </w:p>
        </w:tc>
        <w:tc>
          <w:tcPr>
            <w:tcW w:type="dxa" w:w="3312"/>
          </w:tcPr>
          <w:p>
            <w:r>
              <w:t>Usage and cost metrics</w:t>
            </w:r>
          </w:p>
        </w:tc>
      </w:tr>
    </w:tbl>
    <w:p>
      <w:pPr>
        <w:pStyle w:val="Heading1"/>
      </w:pPr>
      <w:r>
        <w:t>7. Idempotency</w:t>
      </w:r>
    </w:p>
    <w:p>
      <w:r>
        <w:t>Every externally visible mutation must accept an Idempotency-Key. The server stores the request fingerprint and final result. Tool side effects use a separate action idempotency key derived from workflow ID + action type + logical target.</w:t>
      </w:r>
    </w:p>
    <w:p>
      <w:r>
        <w:rPr>
          <w:rFonts w:ascii="Courier New" w:hAnsi="Courier New"/>
          <w:sz w:val="17"/>
        </w:rPr>
        <w:t>idempotency_key = client_key</w:t>
        <w:br/>
        <w:t>action_key = sha256(workflow_id + tool_name + logical_target + action_version)</w:t>
        <w:br/>
        <w:br/>
        <w:t>if action_key already COMPLETED:</w:t>
        <w:br/>
        <w:t xml:space="preserve">    return previous result</w:t>
        <w:br/>
        <w:br/>
        <w:t>if action_key IN_PROGRESS:</w:t>
        <w:br/>
        <w:t xml:space="preserve">    return current operation status</w:t>
        <w:br/>
        <w:br/>
        <w:t>execute side effect</w:t>
        <w:br/>
        <w:t>persist result atomically</w:t>
        <w:br/>
        <w:t>return result</w:t>
      </w:r>
    </w:p>
    <w:p>
      <w:pPr>
        <w:pStyle w:val="Heading1"/>
      </w:pPr>
      <w:r>
        <w:t>8. Failure Handling</w:t>
      </w:r>
    </w:p>
    <w:p>
      <w:pPr>
        <w:pStyle w:val="ListBullet"/>
      </w:pPr>
      <w:r>
        <w:t>Transient provider/API errors: bounded exponential backoff with jitter.</w:t>
      </w:r>
    </w:p>
    <w:p>
      <w:pPr>
        <w:pStyle w:val="ListBullet"/>
      </w:pPr>
      <w:r>
        <w:t>Permanent validation errors: fail fast with actionable error.</w:t>
      </w:r>
    </w:p>
    <w:p>
      <w:pPr>
        <w:pStyle w:val="ListBullet"/>
      </w:pPr>
      <w:r>
        <w:t>Poison messages: move to DLQ after configured max attempts.</w:t>
      </w:r>
    </w:p>
    <w:p>
      <w:pPr>
        <w:pStyle w:val="ListBullet"/>
      </w:pPr>
      <w:r>
        <w:t>Agent timeout: checkpoint state and resume/retry from the last safe node.</w:t>
      </w:r>
    </w:p>
    <w:p>
      <w:pPr>
        <w:pStyle w:val="ListBullet"/>
      </w:pPr>
      <w:r>
        <w:t>Human approval timeout: mark expired and stop side effects.</w:t>
      </w:r>
    </w:p>
    <w:p>
      <w:pPr>
        <w:pStyle w:val="ListBullet"/>
      </w:pPr>
      <w:r>
        <w:t>Tool partial failure: use compensating action where possible; otherwise escalate.</w:t>
      </w:r>
    </w:p>
    <w:p>
      <w:pPr>
        <w:pStyle w:val="ListBullet"/>
      </w:pPr>
      <w:r>
        <w:t>Provider outage: switch to a compatible fallback model for eligible task classes.</w:t>
      </w:r>
    </w:p>
    <w:p>
      <w:pPr>
        <w:pStyle w:val="Heading1"/>
      </w:pPr>
      <w:r>
        <w:t>9. Architecture Decision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Choice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Agent framework</w:t>
            </w:r>
          </w:p>
        </w:tc>
        <w:tc>
          <w:tcPr>
            <w:tcW w:type="dxa" w:w="3312"/>
          </w:tcPr>
          <w:p>
            <w:r>
              <w:t>LangGraph + LangChain</w:t>
            </w:r>
          </w:p>
        </w:tc>
        <w:tc>
          <w:tcPr>
            <w:tcW w:type="dxa" w:w="3312"/>
          </w:tcPr>
          <w:p>
            <w:r>
              <w:t>Explicit stateful orchestration plus reusable model/tool abstractions</w:t>
            </w:r>
          </w:p>
        </w:tc>
      </w:tr>
      <w:tr>
        <w:tc>
          <w:tcPr>
            <w:tcW w:type="dxa" w:w="3312"/>
          </w:tcPr>
          <w:p>
            <w:r>
              <w:t>Primary DB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Transactional core, mature ecosystem, relational reporting, pgvector option</w:t>
            </w:r>
          </w:p>
        </w:tc>
      </w:tr>
      <w:tr>
        <w:tc>
          <w:tcPr>
            <w:tcW w:type="dxa" w:w="3312"/>
          </w:tcPr>
          <w:p>
            <w:r>
              <w:t>Async messaging</w:t>
            </w:r>
          </w:p>
        </w:tc>
        <w:tc>
          <w:tcPr>
            <w:tcW w:type="dxa" w:w="3312"/>
          </w:tcPr>
          <w:p>
            <w:r>
              <w:t>SQS</w:t>
            </w:r>
          </w:p>
        </w:tc>
        <w:tc>
          <w:tcPr>
            <w:tcW w:type="dxa" w:w="3312"/>
          </w:tcPr>
          <w:p>
            <w:r>
              <w:t>Durable decoupling, retries, DLQ</w:t>
            </w:r>
          </w:p>
        </w:tc>
      </w:tr>
      <w:tr>
        <w:tc>
          <w:tcPr>
            <w:tcW w:type="dxa" w:w="3312"/>
          </w:tcPr>
          <w:p>
            <w:r>
              <w:t>Domain events</w:t>
            </w:r>
          </w:p>
        </w:tc>
        <w:tc>
          <w:tcPr>
            <w:tcW w:type="dxa" w:w="3312"/>
          </w:tcPr>
          <w:p>
            <w:r>
              <w:t>EventBridge</w:t>
            </w:r>
          </w:p>
        </w:tc>
        <w:tc>
          <w:tcPr>
            <w:tcW w:type="dxa" w:w="3312"/>
          </w:tcPr>
          <w:p>
            <w:r>
              <w:t>Loose coupling and automation fan-out</w:t>
            </w:r>
          </w:p>
        </w:tc>
      </w:tr>
      <w:tr>
        <w:tc>
          <w:tcPr>
            <w:tcW w:type="dxa" w:w="3312"/>
          </w:tcPr>
          <w:p>
            <w:r>
              <w:t>Agent hosting</w:t>
            </w:r>
          </w:p>
        </w:tc>
        <w:tc>
          <w:tcPr>
            <w:tcW w:type="dxa" w:w="3312"/>
          </w:tcPr>
          <w:p>
            <w:r>
              <w:t>Portable; AgentCore where beneficial</w:t>
            </w:r>
          </w:p>
        </w:tc>
        <w:tc>
          <w:tcPr>
            <w:tcW w:type="dxa" w:w="3312"/>
          </w:tcPr>
          <w:p>
            <w:r>
              <w:t>Avoid platform lock-in while using managed agent capabilities</w:t>
            </w:r>
          </w:p>
        </w:tc>
      </w:tr>
      <w:tr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OpenTelemetry-first</w:t>
            </w:r>
          </w:p>
        </w:tc>
        <w:tc>
          <w:tcPr>
            <w:tcW w:type="dxa" w:w="3312"/>
          </w:tcPr>
          <w:p>
            <w:r>
              <w:t>Vendor-neutral telemetry; export to CloudWatch and other tools</w:t>
            </w:r>
          </w:p>
        </w:tc>
      </w:tr>
      <w:tr>
        <w:tc>
          <w:tcPr>
            <w:tcW w:type="dxa" w:w="3312"/>
          </w:tcPr>
          <w:p>
            <w:r>
              <w:t>IaC</w:t>
            </w:r>
          </w:p>
        </w:tc>
        <w:tc>
          <w:tcPr>
            <w:tcW w:type="dxa" w:w="3312"/>
          </w:tcPr>
          <w:p>
            <w:r>
              <w:t>Terraform/CDK</w:t>
            </w:r>
          </w:p>
        </w:tc>
        <w:tc>
          <w:tcPr>
            <w:tcW w:type="dxa" w:w="3312"/>
          </w:tcPr>
          <w:p>
            <w:r>
              <w:t>Reproducible environments and reviewable infrastructure</w:t>
            </w:r>
          </w:p>
        </w:tc>
      </w:tr>
    </w:tbl>
    <w:p>
      <w:pPr>
        <w:pStyle w:val="Heading1"/>
      </w:pPr>
      <w:r>
        <w:t>10. Sequence: Sensitive Action</w:t>
      </w:r>
    </w:p>
    <w:p>
      <w:r>
        <w:rPr>
          <w:rFonts w:ascii="Courier New" w:hAnsi="Courier New"/>
          <w:sz w:val="17"/>
        </w:rPr>
        <w:t>User request</w:t>
        <w:br/>
        <w:t xml:space="preserve"> -&gt; Workflow created</w:t>
        <w:br/>
        <w:t xml:space="preserve"> -&gt; Agent determines candidate action</w:t>
        <w:br/>
        <w:t xml:space="preserve"> -&gt; Tool request generated</w:t>
        <w:br/>
        <w:t xml:space="preserve"> -&gt; Policy Engine evaluates</w:t>
        <w:br/>
        <w:t xml:space="preserve"> -&gt; REQUIRE_APPROVAL</w:t>
        <w:br/>
        <w:t xml:space="preserve"> -&gt; Approval persisted</w:t>
        <w:br/>
        <w:t xml:space="preserve"> -&gt; User approves</w:t>
        <w:br/>
        <w:t xml:space="preserve"> -&gt; Workflow resumes</w:t>
        <w:br/>
        <w:t xml:space="preserve"> -&gt; Tool validates authorization again</w:t>
        <w:br/>
        <w:t xml:space="preserve"> -&gt; Idempotency check</w:t>
        <w:br/>
        <w:t xml:space="preserve"> -&gt; Side effect executes</w:t>
        <w:br/>
        <w:t xml:space="preserve"> -&gt; Result verified</w:t>
        <w:br/>
        <w:t xml:space="preserve"> -&gt; Audit event</w:t>
        <w:br/>
        <w:t xml:space="preserve"> -&gt; User notified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AgentFlow Technical Documentation —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