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AgentFlow — AI, Agent Orchestration, RAG &amp; Evaluation Specification</w:t>
      </w:r>
    </w:p>
    <w:p>
      <w:pPr>
        <w:jc w:val="center"/>
      </w:pPr>
      <w:r>
        <w:rPr>
          <w:i/>
        </w:rPr>
        <w:t>AgentFlow — AI Business Operations Platform</w:t>
        <w:br/>
        <w:t>Technical Documentation</w:t>
      </w:r>
    </w:p>
    <w:p/>
    <w:p>
      <w:pPr>
        <w:pStyle w:val="Heading1"/>
      </w:pPr>
      <w:r>
        <w:t>1. Agent Philosophy</w:t>
      </w:r>
    </w:p>
    <w:p>
      <w:r>
        <w:t>Use a graph of constrained capabilities rather than a free-form swarm. Every agent has a narrow responsibility, explicit inputs/outputs, tool permissions, budget, timeout, and termination condition.</w:t>
      </w:r>
    </w:p>
    <w:p>
      <w:pPr>
        <w:pStyle w:val="Heading1"/>
      </w:pPr>
      <w:r>
        <w:t>2. Core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Agent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Allowed tools</w:t>
            </w:r>
          </w:p>
        </w:tc>
      </w:tr>
      <w:tr>
        <w:tc>
          <w:tcPr>
            <w:tcW w:type="dxa" w:w="3312"/>
          </w:tcPr>
          <w:p>
            <w:r>
              <w:t>Triage Agent</w:t>
            </w:r>
          </w:p>
        </w:tc>
        <w:tc>
          <w:tcPr>
            <w:tcW w:type="dxa" w:w="3312"/>
          </w:tcPr>
          <w:p>
            <w:r>
              <w:t>Classify request and identify workflow type</w:t>
            </w:r>
          </w:p>
        </w:tc>
        <w:tc>
          <w:tcPr>
            <w:tcW w:type="dxa" w:w="3312"/>
          </w:tcPr>
          <w:p>
            <w:r>
              <w:t>Knowledge search, customer lookup</w:t>
            </w:r>
          </w:p>
        </w:tc>
      </w:tr>
      <w:tr>
        <w:tc>
          <w:tcPr>
            <w:tcW w:type="dxa" w:w="3312"/>
          </w:tcPr>
          <w:p>
            <w:r>
              <w:t>Planner/Supervisor</w:t>
            </w:r>
          </w:p>
        </w:tc>
        <w:tc>
          <w:tcPr>
            <w:tcW w:type="dxa" w:w="3312"/>
          </w:tcPr>
          <w:p>
            <w:r>
              <w:t>Build bounded execution plan and delegate</w:t>
            </w:r>
          </w:p>
        </w:tc>
        <w:tc>
          <w:tcPr>
            <w:tcW w:type="dxa" w:w="3312"/>
          </w:tcPr>
          <w:p>
            <w:r>
              <w:t>Agent registry, read-only context</w:t>
            </w:r>
          </w:p>
        </w:tc>
      </w:tr>
      <w:tr>
        <w:tc>
          <w:tcPr>
            <w:tcW w:type="dxa" w:w="3312"/>
          </w:tcPr>
          <w:p>
            <w:r>
              <w:t>Research Agent</w:t>
            </w:r>
          </w:p>
        </w:tc>
        <w:tc>
          <w:tcPr>
            <w:tcW w:type="dxa" w:w="3312"/>
          </w:tcPr>
          <w:p>
            <w:r>
              <w:t>Gather relevant customer/business context</w:t>
            </w:r>
          </w:p>
        </w:tc>
        <w:tc>
          <w:tcPr>
            <w:tcW w:type="dxa" w:w="3312"/>
          </w:tcPr>
          <w:p>
            <w:r>
              <w:t>Knowledge, CRM read</w:t>
            </w:r>
          </w:p>
        </w:tc>
      </w:tr>
      <w:tr>
        <w:tc>
          <w:tcPr>
            <w:tcW w:type="dxa" w:w="3312"/>
          </w:tcPr>
          <w:p>
            <w:r>
              <w:t>Knowledge Agent</w:t>
            </w:r>
          </w:p>
        </w:tc>
        <w:tc>
          <w:tcPr>
            <w:tcW w:type="dxa" w:w="3312"/>
          </w:tcPr>
          <w:p>
            <w:r>
              <w:t>Retrieve and synthesize grounded policy/product information</w:t>
            </w:r>
          </w:p>
        </w:tc>
        <w:tc>
          <w:tcPr>
            <w:tcW w:type="dxa" w:w="3312"/>
          </w:tcPr>
          <w:p>
            <w:r>
              <w:t>Retriever</w:t>
            </w:r>
          </w:p>
        </w:tc>
      </w:tr>
      <w:tr>
        <w:tc>
          <w:tcPr>
            <w:tcW w:type="dxa" w:w="3312"/>
          </w:tcPr>
          <w:p>
            <w:r>
              <w:t>Resolution Agent</w:t>
            </w:r>
          </w:p>
        </w:tc>
        <w:tc>
          <w:tcPr>
            <w:tcW w:type="dxa" w:w="3312"/>
          </w:tcPr>
          <w:p>
            <w:r>
              <w:t>Propose resolution</w:t>
            </w:r>
          </w:p>
        </w:tc>
        <w:tc>
          <w:tcPr>
            <w:tcW w:type="dxa" w:w="3312"/>
          </w:tcPr>
          <w:p>
            <w:r>
              <w:t>Read-only context + calculators</w:t>
            </w:r>
          </w:p>
        </w:tc>
      </w:tr>
      <w:tr>
        <w:tc>
          <w:tcPr>
            <w:tcW w:type="dxa" w:w="3312"/>
          </w:tcPr>
          <w:p>
            <w:r>
              <w:t>Execution Agent</w:t>
            </w:r>
          </w:p>
        </w:tc>
        <w:tc>
          <w:tcPr>
            <w:tcW w:type="dxa" w:w="3312"/>
          </w:tcPr>
          <w:p>
            <w:r>
              <w:t>Perform approved actions</w:t>
            </w:r>
          </w:p>
        </w:tc>
        <w:tc>
          <w:tcPr>
            <w:tcW w:type="dxa" w:w="3312"/>
          </w:tcPr>
          <w:p>
            <w:r>
              <w:t>Explicitly allowlisted write tools</w:t>
            </w:r>
          </w:p>
        </w:tc>
      </w:tr>
      <w:tr>
        <w:tc>
          <w:tcPr>
            <w:tcW w:type="dxa" w:w="3312"/>
          </w:tcPr>
          <w:p>
            <w:r>
              <w:t>Verifier Agent</w:t>
            </w:r>
          </w:p>
        </w:tc>
        <w:tc>
          <w:tcPr>
            <w:tcW w:type="dxa" w:w="3312"/>
          </w:tcPr>
          <w:p>
            <w:r>
              <w:t>Check outcome and consistency</w:t>
            </w:r>
          </w:p>
        </w:tc>
        <w:tc>
          <w:tcPr>
            <w:tcW w:type="dxa" w:w="3312"/>
          </w:tcPr>
          <w:p>
            <w:r>
              <w:t>Read-only verification tools</w:t>
            </w:r>
          </w:p>
        </w:tc>
      </w:tr>
      <w:tr>
        <w:tc>
          <w:tcPr>
            <w:tcW w:type="dxa" w:w="3312"/>
          </w:tcPr>
          <w:p>
            <w:r>
              <w:t>Communication Agent</w:t>
            </w:r>
          </w:p>
        </w:tc>
        <w:tc>
          <w:tcPr>
            <w:tcW w:type="dxa" w:w="3312"/>
          </w:tcPr>
          <w:p>
            <w:r>
              <w:t>Draft customer/internal messages</w:t>
            </w:r>
          </w:p>
        </w:tc>
        <w:tc>
          <w:tcPr>
            <w:tcW w:type="dxa" w:w="3312"/>
          </w:tcPr>
          <w:p>
            <w:r>
              <w:t>Templates, email draft/send depending on policy</w:t>
            </w:r>
          </w:p>
        </w:tc>
      </w:tr>
    </w:tbl>
    <w:p>
      <w:pPr>
        <w:pStyle w:val="Heading1"/>
      </w:pPr>
      <w:r>
        <w:t>3. LangGraph State</w:t>
      </w:r>
    </w:p>
    <w:p>
      <w:r>
        <w:rPr>
          <w:rFonts w:ascii="Courier New" w:hAnsi="Courier New"/>
          <w:sz w:val="17"/>
        </w:rPr>
        <w:t>WorkflowState</w:t>
        <w:br/>
        <w:t>- workflow_id</w:t>
        <w:br/>
        <w:t>- org_id</w:t>
        <w:br/>
        <w:t>- request</w:t>
        <w:br/>
        <w:t>- classification</w:t>
        <w:br/>
        <w:t>- plan</w:t>
        <w:br/>
        <w:t>- retrieved_context[]</w:t>
        <w:br/>
        <w:t>- customer_context</w:t>
        <w:br/>
        <w:t>- proposed_actions[]</w:t>
        <w:br/>
        <w:t>- policy_decisions[]</w:t>
        <w:br/>
        <w:t>- approvals[]</w:t>
        <w:br/>
        <w:t>- execution_results[]</w:t>
        <w:br/>
        <w:t>- verification_results[]</w:t>
        <w:br/>
        <w:t>- errors[]</w:t>
        <w:br/>
        <w:t>- token_budget</w:t>
        <w:br/>
        <w:t>- time_budget</w:t>
        <w:br/>
        <w:t>- retry_count</w:t>
        <w:br/>
        <w:t>- final_response</w:t>
      </w:r>
    </w:p>
    <w:p>
      <w:pPr>
        <w:pStyle w:val="Heading1"/>
      </w:pPr>
      <w:r>
        <w:t>4. Graph Design</w:t>
      </w:r>
    </w:p>
    <w:p>
      <w:r>
        <w:rPr>
          <w:rFonts w:ascii="Courier New" w:hAnsi="Courier New"/>
          <w:sz w:val="17"/>
        </w:rPr>
        <w:t>START</w:t>
        <w:br/>
        <w:t xml:space="preserve">  -&gt; intake</w:t>
        <w:br/>
        <w:t xml:space="preserve">  -&gt; triage</w:t>
        <w:br/>
        <w:t xml:space="preserve">  -&gt; supervisor_plan</w:t>
        <w:br/>
        <w:t xml:space="preserve">  -&gt; research</w:t>
        <w:br/>
        <w:t xml:space="preserve">  -&gt; retrieve</w:t>
        <w:br/>
        <w:t xml:space="preserve">  -&gt; resolution</w:t>
        <w:br/>
        <w:t xml:space="preserve">  -&gt; policy_gate</w:t>
        <w:br/>
        <w:t xml:space="preserve">       -&gt; blocked</w:t>
        <w:br/>
        <w:t xml:space="preserve">       -&gt; approval_required -&gt; WAIT -&gt; resume</w:t>
        <w:br/>
        <w:t xml:space="preserve">       -&gt; allowed</w:t>
        <w:br/>
        <w:t xml:space="preserve">  -&gt; execute</w:t>
        <w:br/>
        <w:t xml:space="preserve">  -&gt; verify</w:t>
        <w:br/>
        <w:t xml:space="preserve">       -&gt; verification_failed -&gt; recovery/escalation</w:t>
        <w:br/>
        <w:t xml:space="preserve">       -&gt; verified</w:t>
        <w:br/>
        <w:t xml:space="preserve">  -&gt; communicate</w:t>
        <w:br/>
        <w:t xml:space="preserve">  -&gt; audit</w:t>
        <w:br/>
        <w:t xml:space="preserve">  -&gt; END</w:t>
      </w:r>
    </w:p>
    <w:p>
      <w:pPr>
        <w:pStyle w:val="Heading1"/>
      </w:pPr>
      <w:r>
        <w:t>5. Structured Outputs</w:t>
      </w:r>
    </w:p>
    <w:p>
      <w:pPr>
        <w:pStyle w:val="ListBullet"/>
      </w:pPr>
      <w:r>
        <w:t>All agent-to-agent contracts use typed Pydantic schemas.</w:t>
      </w:r>
    </w:p>
    <w:p>
      <w:pPr>
        <w:pStyle w:val="ListBullet"/>
      </w:pPr>
      <w:r>
        <w:t>No downstream component should parse free-form prose to determine whether to execute an action.</w:t>
      </w:r>
    </w:p>
    <w:p>
      <w:pPr>
        <w:pStyle w:val="ListBullet"/>
      </w:pPr>
      <w:r>
        <w:t>LLM output is validated before graph transitions.</w:t>
      </w:r>
    </w:p>
    <w:p>
      <w:pPr>
        <w:pStyle w:val="ListBullet"/>
      </w:pPr>
      <w:r>
        <w:t>Invalid structured output triggers bounded repair/retry, then escalation.</w:t>
      </w:r>
    </w:p>
    <w:p>
      <w:pPr>
        <w:pStyle w:val="ListBullet"/>
      </w:pPr>
      <w:r>
        <w:t>Business-critical calculations are performed in deterministic services.</w:t>
      </w:r>
    </w:p>
    <w:p>
      <w:pPr>
        <w:pStyle w:val="Heading1"/>
      </w:pPr>
      <w:r>
        <w:t>6. Tool Contract</w:t>
      </w:r>
    </w:p>
    <w:p>
      <w:r>
        <w:rPr>
          <w:rFonts w:ascii="Courier New" w:hAnsi="Courier New"/>
          <w:sz w:val="17"/>
        </w:rPr>
        <w:t>ToolResult:</w:t>
        <w:br/>
        <w:t xml:space="preserve">  status: success | rejected | retryable_error | permanent_error</w:t>
        <w:br/>
        <w:t xml:space="preserve">  data: typed payload</w:t>
        <w:br/>
        <w:t xml:space="preserve">  error_code: optional</w:t>
        <w:br/>
        <w:t xml:space="preserve">  idempotency_key: string</w:t>
        <w:br/>
        <w:t xml:space="preserve">  audit_reference: string</w:t>
        <w:br/>
        <w:br/>
        <w:t>Every write tool must:</w:t>
        <w:br/>
        <w:t>1. Authenticate caller context.</w:t>
        <w:br/>
        <w:t>2. Authorize tenant and role.</w:t>
        <w:br/>
        <w:t>3. Validate arguments.</w:t>
        <w:br/>
        <w:t>4. Validate policy/risk.</w:t>
        <w:br/>
        <w:t>5. Enforce idempotency.</w:t>
        <w:br/>
        <w:t>6. Execute.</w:t>
        <w:br/>
        <w:t>7. Return typed result.</w:t>
        <w:br/>
        <w:t>8. Emit audit/telemetry.</w:t>
      </w:r>
    </w:p>
    <w:p>
      <w:pPr>
        <w:pStyle w:val="Heading1"/>
      </w:pPr>
      <w:r>
        <w:t>7. RAG Architecture</w:t>
      </w:r>
    </w:p>
    <w:p>
      <w:r>
        <w:rPr>
          <w:rFonts w:ascii="Courier New" w:hAnsi="Courier New"/>
          <w:sz w:val="17"/>
        </w:rPr>
        <w:t>Source</w:t>
        <w:br/>
        <w:t xml:space="preserve"> -&gt; fetch</w:t>
        <w:br/>
        <w:t xml:space="preserve"> -&gt; malware/content validation</w:t>
        <w:br/>
        <w:t xml:space="preserve"> -&gt; parse</w:t>
        <w:br/>
        <w:t xml:space="preserve"> -&gt; normalize</w:t>
        <w:br/>
        <w:t xml:space="preserve"> -&gt; classify</w:t>
        <w:br/>
        <w:t xml:space="preserve"> -&gt; metadata extraction</w:t>
        <w:br/>
        <w:t xml:space="preserve"> -&gt; chunk</w:t>
        <w:br/>
        <w:t xml:space="preserve"> -&gt; embedding</w:t>
        <w:br/>
        <w:t xml:space="preserve"> -&gt; lexical index + vector index</w:t>
        <w:br/>
        <w:t xml:space="preserve"> -&gt; ACL metadata</w:t>
        <w:br/>
        <w:t xml:space="preserve"> -&gt; retrieval</w:t>
        <w:br/>
        <w:t xml:space="preserve"> -&gt; metadata filtering</w:t>
        <w:br/>
        <w:t xml:space="preserve"> -&gt; hybrid ranking</w:t>
        <w:br/>
        <w:t xml:space="preserve"> -&gt; reranking</w:t>
        <w:br/>
        <w:t xml:space="preserve"> -&gt; context budget</w:t>
        <w:br/>
        <w:t xml:space="preserve"> -&gt; generation</w:t>
        <w:br/>
        <w:t xml:space="preserve"> -&gt; citation validation</w:t>
      </w:r>
    </w:p>
    <w:p>
      <w:pPr>
        <w:pStyle w:val="Heading1"/>
      </w:pPr>
      <w:r>
        <w:t>8. Retrieval Techniques</w:t>
      </w:r>
    </w:p>
    <w:p>
      <w:pPr>
        <w:pStyle w:val="ListBullet"/>
      </w:pPr>
      <w:r>
        <w:t>Hybrid retrieval: lexical/BM25-style search plus dense vector retrieval.</w:t>
      </w:r>
    </w:p>
    <w:p>
      <w:pPr>
        <w:pStyle w:val="ListBullet"/>
      </w:pPr>
      <w:r>
        <w:t>Metadata filtering before ranking for tenant, document, department, region, confidentiality, and version.</w:t>
      </w:r>
    </w:p>
    <w:p>
      <w:pPr>
        <w:pStyle w:val="ListBullet"/>
      </w:pPr>
      <w:r>
        <w:t>Reranking for high-value queries.</w:t>
      </w:r>
    </w:p>
    <w:p>
      <w:pPr>
        <w:pStyle w:val="ListBullet"/>
      </w:pPr>
      <w:r>
        <w:t>Query rewriting only when retrieval quality needs it; keep original query for traceability.</w:t>
      </w:r>
    </w:p>
    <w:p>
      <w:pPr>
        <w:pStyle w:val="ListBullet"/>
      </w:pPr>
      <w:r>
        <w:t>Context compression to fit model budgets.</w:t>
      </w:r>
    </w:p>
    <w:p>
      <w:pPr>
        <w:pStyle w:val="ListBullet"/>
      </w:pPr>
      <w:r>
        <w:t>Document/version freshness tracking.</w:t>
      </w:r>
    </w:p>
    <w:p>
      <w:pPr>
        <w:pStyle w:val="ListBullet"/>
      </w:pPr>
      <w:r>
        <w:t>Citation objects that point to document/version/chunk IDs.</w:t>
      </w:r>
    </w:p>
    <w:p>
      <w:pPr>
        <w:pStyle w:val="ListBullet"/>
      </w:pPr>
      <w:r>
        <w:t>Abstention when evidence is insufficient.</w:t>
      </w:r>
    </w:p>
    <w:p>
      <w:pPr>
        <w:pStyle w:val="ListBullet"/>
      </w:pPr>
      <w:r>
        <w:t>Separate retrieval from generation so retrieval can be evaluated independently.</w:t>
      </w:r>
    </w:p>
    <w:p>
      <w:pPr>
        <w:pStyle w:val="Heading1"/>
      </w:pPr>
      <w:r>
        <w:t>9. Prompt Injection Defense</w:t>
      </w:r>
    </w:p>
    <w:p>
      <w:pPr>
        <w:pStyle w:val="ListBullet"/>
      </w:pPr>
      <w:r>
        <w:t>Treat user input and retrieved documents as untrusted data.</w:t>
      </w:r>
    </w:p>
    <w:p>
      <w:pPr>
        <w:pStyle w:val="ListBullet"/>
      </w:pPr>
      <w:r>
        <w:t>Never place retrieved text into the system instruction layer.</w:t>
      </w:r>
    </w:p>
    <w:p>
      <w:pPr>
        <w:pStyle w:val="ListBullet"/>
      </w:pPr>
      <w:r>
        <w:t>Tool authorization is enforced outside the model.</w:t>
      </w:r>
    </w:p>
    <w:p>
      <w:pPr>
        <w:pStyle w:val="ListBullet"/>
      </w:pPr>
      <w:r>
        <w:t>Sensitive tools require policy approval regardless of model output.</w:t>
      </w:r>
    </w:p>
    <w:p>
      <w:pPr>
        <w:pStyle w:val="ListBullet"/>
      </w:pPr>
      <w:r>
        <w:t>Use content labels and provenance metadata.</w:t>
      </w:r>
    </w:p>
    <w:p>
      <w:pPr>
        <w:pStyle w:val="ListBullet"/>
      </w:pPr>
      <w:r>
        <w:t>Add adversarial retrieval cases to evaluation datasets.</w:t>
      </w:r>
    </w:p>
    <w:p>
      <w:pPr>
        <w:pStyle w:val="ListBullet"/>
      </w:pPr>
      <w:r>
        <w:t>Do not allow a document to redefine agent policies, permissions, or system instructions.</w:t>
      </w:r>
    </w:p>
    <w:p>
      <w:pPr>
        <w:pStyle w:val="Heading1"/>
      </w:pPr>
      <w:r>
        <w:t>10. Model Routing</w:t>
      </w:r>
    </w:p>
    <w:p>
      <w:r>
        <w:rPr>
          <w:rFonts w:ascii="Courier New" w:hAnsi="Courier New"/>
          <w:sz w:val="17"/>
        </w:rPr>
        <w:t>TaskRouter</w:t>
        <w:br/>
        <w:t xml:space="preserve">  classification -&gt; fast/low-cost model</w:t>
        <w:br/>
        <w:t xml:space="preserve">  extraction    -&gt; structured-output model</w:t>
        <w:br/>
        <w:t xml:space="preserve">  planning      -&gt; stronger reasoning model</w:t>
        <w:br/>
        <w:t xml:space="preserve">  summarization -&gt; fast model</w:t>
        <w:br/>
        <w:t xml:space="preserve">  vision        -&gt; multimodal model</w:t>
        <w:br/>
        <w:t xml:space="preserve">  fallback      -&gt; alternate provider/model</w:t>
        <w:br/>
        <w:br/>
        <w:t>Routing inputs:</w:t>
        <w:br/>
        <w:t>- task type</w:t>
        <w:br/>
        <w:t>- complexity</w:t>
        <w:br/>
        <w:t>- latency budget</w:t>
        <w:br/>
        <w:t>- token budget</w:t>
        <w:br/>
        <w:t>- model availability</w:t>
        <w:br/>
        <w:t>- tenant policy</w:t>
        <w:br/>
        <w:t>- cost ceiling</w:t>
      </w:r>
    </w:p>
    <w:p>
      <w:pPr>
        <w:pStyle w:val="Heading1"/>
      </w:pPr>
      <w:r>
        <w:t>11.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Memory type</w:t>
            </w:r>
          </w:p>
        </w:tc>
        <w:tc>
          <w:tcPr>
            <w:tcW w:type="dxa" w:w="4968"/>
          </w:tcPr>
          <w:p>
            <w:r>
              <w:t>Implementation</w:t>
            </w:r>
          </w:p>
        </w:tc>
      </w:tr>
      <w:tr>
        <w:tc>
          <w:tcPr>
            <w:tcW w:type="dxa" w:w="4968"/>
          </w:tcPr>
          <w:p>
            <w:r>
              <w:t>Workflow state</w:t>
            </w:r>
          </w:p>
        </w:tc>
        <w:tc>
          <w:tcPr>
            <w:tcW w:type="dxa" w:w="4968"/>
          </w:tcPr>
          <w:p>
            <w:r>
              <w:t>LangGraph checkpoint/state store</w:t>
            </w:r>
          </w:p>
        </w:tc>
      </w:tr>
      <w:tr>
        <w:tc>
          <w:tcPr>
            <w:tcW w:type="dxa" w:w="4968"/>
          </w:tcPr>
          <w:p>
            <w:r>
              <w:t>Conversation memory</w:t>
            </w:r>
          </w:p>
        </w:tc>
        <w:tc>
          <w:tcPr>
            <w:tcW w:type="dxa" w:w="4968"/>
          </w:tcPr>
          <w:p>
            <w:r>
              <w:t>PostgreSQL or AgentCore Memory</w:t>
            </w:r>
          </w:p>
        </w:tc>
      </w:tr>
      <w:tr>
        <w:tc>
          <w:tcPr>
            <w:tcW w:type="dxa" w:w="4968"/>
          </w:tcPr>
          <w:p>
            <w:r>
              <w:t>Long-term user/org memory</w:t>
            </w:r>
          </w:p>
        </w:tc>
        <w:tc>
          <w:tcPr>
            <w:tcW w:type="dxa" w:w="4968"/>
          </w:tcPr>
          <w:p>
            <w:r>
              <w:t>Explicit memory records with provenance and TTL</w:t>
            </w:r>
          </w:p>
        </w:tc>
      </w:tr>
      <w:tr>
        <w:tc>
          <w:tcPr>
            <w:tcW w:type="dxa" w:w="4968"/>
          </w:tcPr>
          <w:p>
            <w:r>
              <w:t>Knowledge</w:t>
            </w:r>
          </w:p>
        </w:tc>
        <w:tc>
          <w:tcPr>
            <w:tcW w:type="dxa" w:w="4968"/>
          </w:tcPr>
          <w:p>
            <w:r>
              <w:t>Document/vector/lexical store; not treated as conversation memory</w:t>
            </w:r>
          </w:p>
        </w:tc>
      </w:tr>
    </w:tbl>
    <w:p>
      <w:r>
        <w:t>Memory must be deliberate. Store stable, useful facts with provenance; do not dump entire conversations into long-term memory.</w:t>
      </w:r>
    </w:p>
    <w:p>
      <w:pPr>
        <w:pStyle w:val="Heading1"/>
      </w:pPr>
      <w:r>
        <w:t>12. Agent Budgets</w:t>
      </w:r>
    </w:p>
    <w:p>
      <w:pPr>
        <w:pStyle w:val="ListBullet"/>
      </w:pPr>
      <w:r>
        <w:t>Maximum graph steps.</w:t>
      </w:r>
    </w:p>
    <w:p>
      <w:pPr>
        <w:pStyle w:val="ListBullet"/>
      </w:pPr>
      <w:r>
        <w:t>Maximum tool calls per agent.</w:t>
      </w:r>
    </w:p>
    <w:p>
      <w:pPr>
        <w:pStyle w:val="ListBullet"/>
      </w:pPr>
      <w:r>
        <w:t>Maximum wall-clock duration.</w:t>
      </w:r>
    </w:p>
    <w:p>
      <w:pPr>
        <w:pStyle w:val="ListBullet"/>
      </w:pPr>
      <w:r>
        <w:t>Maximum token budget.</w:t>
      </w:r>
    </w:p>
    <w:p>
      <w:pPr>
        <w:pStyle w:val="ListBullet"/>
      </w:pPr>
      <w:r>
        <w:t>Maximum estimated cost.</w:t>
      </w:r>
    </w:p>
    <w:p>
      <w:pPr>
        <w:pStyle w:val="ListBullet"/>
      </w:pPr>
      <w:r>
        <w:t>Maximum retry count.</w:t>
      </w:r>
    </w:p>
    <w:p>
      <w:pPr>
        <w:pStyle w:val="ListBullet"/>
      </w:pPr>
      <w:r>
        <w:t>Maximum delegation depth.</w:t>
      </w:r>
    </w:p>
    <w:p>
      <w:pPr>
        <w:pStyle w:val="Heading1"/>
      </w:pPr>
      <w:r>
        <w:t>13. Evaluation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Evaluation</w:t>
            </w:r>
          </w:p>
        </w:tc>
        <w:tc>
          <w:tcPr>
            <w:tcW w:type="dxa" w:w="4968"/>
          </w:tcPr>
          <w:p>
            <w:r>
              <w:t>Example metric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Accuracy / macro F1</w:t>
            </w:r>
          </w:p>
        </w:tc>
      </w:tr>
      <w:tr>
        <w:tc>
          <w:tcPr>
            <w:tcW w:type="dxa" w:w="4968"/>
          </w:tcPr>
          <w:p>
            <w:r>
              <w:t>RAG</w:t>
            </w:r>
          </w:p>
        </w:tc>
        <w:tc>
          <w:tcPr>
            <w:tcW w:type="dxa" w:w="4968"/>
          </w:tcPr>
          <w:p>
            <w:r>
              <w:t>Recall@k, MRR, citation precision</w:t>
            </w:r>
          </w:p>
        </w:tc>
      </w:tr>
      <w:tr>
        <w:tc>
          <w:tcPr>
            <w:tcW w:type="dxa" w:w="4968"/>
          </w:tcPr>
          <w:p>
            <w:r>
              <w:t>Grounded generation</w:t>
            </w:r>
          </w:p>
        </w:tc>
        <w:tc>
          <w:tcPr>
            <w:tcW w:type="dxa" w:w="4968"/>
          </w:tcPr>
          <w:p>
            <w:r>
              <w:t>Faithfulness + citation support</w:t>
            </w:r>
          </w:p>
        </w:tc>
      </w:tr>
      <w:tr>
        <w:tc>
          <w:tcPr>
            <w:tcW w:type="dxa" w:w="4968"/>
          </w:tcPr>
          <w:p>
            <w:r>
              <w:t>Tool selection</w:t>
            </w:r>
          </w:p>
        </w:tc>
        <w:tc>
          <w:tcPr>
            <w:tcW w:type="dxa" w:w="4968"/>
          </w:tcPr>
          <w:p>
            <w:r>
              <w:t>Correct tool rate</w:t>
            </w:r>
          </w:p>
        </w:tc>
      </w:tr>
      <w:tr>
        <w:tc>
          <w:tcPr>
            <w:tcW w:type="dxa" w:w="4968"/>
          </w:tcPr>
          <w:p>
            <w:r>
              <w:t>Argument generation</w:t>
            </w:r>
          </w:p>
        </w:tc>
        <w:tc>
          <w:tcPr>
            <w:tcW w:type="dxa" w:w="4968"/>
          </w:tcPr>
          <w:p>
            <w:r>
              <w:t>Schema/semantic correctness</w:t>
            </w:r>
          </w:p>
        </w:tc>
      </w:tr>
      <w:tr>
        <w:tc>
          <w:tcPr>
            <w:tcW w:type="dxa" w:w="4968"/>
          </w:tcPr>
          <w:p>
            <w:r>
              <w:t>Policy</w:t>
            </w:r>
          </w:p>
        </w:tc>
        <w:tc>
          <w:tcPr>
            <w:tcW w:type="dxa" w:w="4968"/>
          </w:tcPr>
          <w:p>
            <w:r>
              <w:t>False allow / false deny rate</w:t>
            </w:r>
          </w:p>
        </w:tc>
      </w:tr>
      <w:tr>
        <w:tc>
          <w:tcPr>
            <w:tcW w:type="dxa" w:w="4968"/>
          </w:tcPr>
          <w:p>
            <w:r>
              <w:t>Workflow</w:t>
            </w:r>
          </w:p>
        </w:tc>
        <w:tc>
          <w:tcPr>
            <w:tcW w:type="dxa" w:w="4968"/>
          </w:tcPr>
          <w:p>
            <w:r>
              <w:t>Task success rate</w:t>
            </w:r>
          </w:p>
        </w:tc>
      </w:tr>
      <w:tr>
        <w:tc>
          <w:tcPr>
            <w:tcW w:type="dxa" w:w="4968"/>
          </w:tcPr>
          <w:p>
            <w:r>
              <w:t>Safety</w:t>
            </w:r>
          </w:p>
        </w:tc>
        <w:tc>
          <w:tcPr>
            <w:tcW w:type="dxa" w:w="4968"/>
          </w:tcPr>
          <w:p>
            <w:r>
              <w:t>Blocked unsafe/prompt-injection cases</w:t>
            </w:r>
          </w:p>
        </w:tc>
      </w:tr>
      <w:tr>
        <w:tc>
          <w:tcPr>
            <w:tcW w:type="dxa" w:w="4968"/>
          </w:tcPr>
          <w:p>
            <w:r>
              <w:t>Operations</w:t>
            </w:r>
          </w:p>
        </w:tc>
        <w:tc>
          <w:tcPr>
            <w:tcW w:type="dxa" w:w="4968"/>
          </w:tcPr>
          <w:p>
            <w:r>
              <w:t>Latency, token usage, cost, retries</w:t>
            </w:r>
          </w:p>
        </w:tc>
      </w:tr>
    </w:tbl>
    <w:p>
      <w:pPr>
        <w:pStyle w:val="Heading1"/>
      </w:pPr>
      <w:r>
        <w:t>14. Regression Dataset</w:t>
      </w:r>
    </w:p>
    <w:p>
      <w:pPr>
        <w:pStyle w:val="ListBullet"/>
      </w:pPr>
      <w:r>
        <w:t>Happy-path support cases.</w:t>
      </w:r>
    </w:p>
    <w:p>
      <w:pPr>
        <w:pStyle w:val="ListBullet"/>
      </w:pPr>
      <w:r>
        <w:t>Ambiguous requests.</w:t>
      </w:r>
    </w:p>
    <w:p>
      <w:pPr>
        <w:pStyle w:val="ListBullet"/>
      </w:pPr>
      <w:r>
        <w:t>Missing customer data.</w:t>
      </w:r>
    </w:p>
    <w:p>
      <w:pPr>
        <w:pStyle w:val="ListBullet"/>
      </w:pPr>
      <w:r>
        <w:t>Conflicting documents.</w:t>
      </w:r>
    </w:p>
    <w:p>
      <w:pPr>
        <w:pStyle w:val="ListBullet"/>
      </w:pPr>
      <w:r>
        <w:t>Outdated policies.</w:t>
      </w:r>
    </w:p>
    <w:p>
      <w:pPr>
        <w:pStyle w:val="ListBullet"/>
      </w:pPr>
      <w:r>
        <w:t>Prompt injection in uploaded documents.</w:t>
      </w:r>
    </w:p>
    <w:p>
      <w:pPr>
        <w:pStyle w:val="ListBullet"/>
      </w:pPr>
      <w:r>
        <w:t>Unauthorized action requests.</w:t>
      </w:r>
    </w:p>
    <w:p>
      <w:pPr>
        <w:pStyle w:val="ListBullet"/>
      </w:pPr>
      <w:r>
        <w:t>Duplicate requests.</w:t>
      </w:r>
    </w:p>
    <w:p>
      <w:pPr>
        <w:pStyle w:val="ListBullet"/>
      </w:pPr>
      <w:r>
        <w:t>Provider failures.</w:t>
      </w:r>
    </w:p>
    <w:p>
      <w:pPr>
        <w:pStyle w:val="ListBullet"/>
      </w:pPr>
      <w:r>
        <w:t>Tool timeout/partial failure.</w:t>
      </w:r>
    </w:p>
    <w:p>
      <w:pPr>
        <w:pStyle w:val="ListBullet"/>
      </w:pPr>
      <w:r>
        <w:t>Approval rejection and expiration.</w:t>
      </w:r>
    </w:p>
    <w:p>
      <w:pPr>
        <w:pStyle w:val="Heading1"/>
      </w:pPr>
      <w:r>
        <w:t>15. Evaluation Gate</w:t>
      </w:r>
    </w:p>
    <w:p>
      <w:r>
        <w:rPr>
          <w:rFonts w:ascii="Courier New" w:hAnsi="Courier New"/>
          <w:sz w:val="17"/>
        </w:rPr>
        <w:t>PR -&gt; unit tests -&gt; schema tests -&gt; retrieval tests</w:t>
        <w:br/>
        <w:t xml:space="preserve">   -&gt; agent evaluation subset -&gt; security/prompt-injection tests</w:t>
        <w:br/>
        <w:t xml:space="preserve">   -&gt; cost regression check -&gt; deploy candidate</w:t>
        <w:br/>
        <w:t xml:space="preserve">   -&gt; staging evaluation -&gt; production canary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AgentFlow Technical Documentation — Draft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