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AgentFlow — AWS, Security, DevOps &amp; Operations Runbook</w:t>
      </w:r>
    </w:p>
    <w:p>
      <w:pPr>
        <w:jc w:val="center"/>
      </w:pPr>
      <w:r>
        <w:rPr>
          <w:i/>
        </w:rPr>
        <w:t>AgentFlow — AI Business Operations Platform</w:t>
        <w:br/>
        <w:t>Technical Documentation</w:t>
      </w:r>
    </w:p>
    <w:p/>
    <w:p>
      <w:pPr>
        <w:pStyle w:val="Heading1"/>
      </w:pPr>
      <w:r>
        <w:t>1. AWS Reference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Concern</w:t>
            </w:r>
          </w:p>
        </w:tc>
        <w:tc>
          <w:tcPr>
            <w:tcW w:type="dxa" w:w="4968"/>
          </w:tcPr>
          <w:p>
            <w:r>
              <w:t>AWS service</w:t>
            </w:r>
          </w:p>
        </w:tc>
      </w:tr>
      <w:tr>
        <w:tc>
          <w:tcPr>
            <w:tcW w:type="dxa" w:w="4968"/>
          </w:tcPr>
          <w:p>
            <w:r>
              <w:t>DNS/CDN/WAF</w:t>
            </w:r>
          </w:p>
        </w:tc>
        <w:tc>
          <w:tcPr>
            <w:tcW w:type="dxa" w:w="4968"/>
          </w:tcPr>
          <w:p>
            <w:r>
              <w:t>Route 53 + CloudFront + WAF</w:t>
            </w:r>
          </w:p>
        </w:tc>
      </w:tr>
      <w:tr>
        <w:tc>
          <w:tcPr>
            <w:tcW w:type="dxa" w:w="4968"/>
          </w:tcPr>
          <w:p>
            <w:r>
              <w:t>API</w:t>
            </w:r>
          </w:p>
        </w:tc>
        <w:tc>
          <w:tcPr>
            <w:tcW w:type="dxa" w:w="4968"/>
          </w:tcPr>
          <w:p>
            <w:r>
              <w:t>API Gateway or ALB</w:t>
            </w:r>
          </w:p>
        </w:tc>
      </w:tr>
      <w:tr>
        <w:tc>
          <w:tcPr>
            <w:tcW w:type="dxa" w:w="4968"/>
          </w:tcPr>
          <w:p>
            <w:r>
              <w:t>Containers</w:t>
            </w:r>
          </w:p>
        </w:tc>
        <w:tc>
          <w:tcPr>
            <w:tcW w:type="dxa" w:w="4968"/>
          </w:tcPr>
          <w:p>
            <w:r>
              <w:t>ECS/Fargate</w:t>
            </w:r>
          </w:p>
        </w:tc>
      </w:tr>
      <w:tr>
        <w:tc>
          <w:tcPr>
            <w:tcW w:type="dxa" w:w="4968"/>
          </w:tcPr>
          <w:p>
            <w:r>
              <w:t>Agent runtime</w:t>
            </w:r>
          </w:p>
        </w:tc>
        <w:tc>
          <w:tcPr>
            <w:tcW w:type="dxa" w:w="4968"/>
          </w:tcPr>
          <w:p>
            <w:r>
              <w:t>Amazon Bedrock AgentCore Runtime where appropriate</w:t>
            </w:r>
          </w:p>
        </w:tc>
      </w:tr>
      <w:tr>
        <w:tc>
          <w:tcPr>
            <w:tcW w:type="dxa" w:w="4968"/>
          </w:tcPr>
          <w:p>
            <w:r>
              <w:t>Models</w:t>
            </w:r>
          </w:p>
        </w:tc>
        <w:tc>
          <w:tcPr>
            <w:tcW w:type="dxa" w:w="4968"/>
          </w:tcPr>
          <w:p>
            <w:r>
              <w:t>Amazon Bedrock; provider abstraction for external models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RDS/Aurora PostgreSQL</w:t>
            </w:r>
          </w:p>
        </w:tc>
      </w:tr>
      <w:tr>
        <w:tc>
          <w:tcPr>
            <w:tcW w:type="dxa" w:w="4968"/>
          </w:tcPr>
          <w:p>
            <w:r>
              <w:t>Files</w:t>
            </w:r>
          </w:p>
        </w:tc>
        <w:tc>
          <w:tcPr>
            <w:tcW w:type="dxa" w:w="4968"/>
          </w:tcPr>
          <w:p>
            <w:r>
              <w:t>S3</w:t>
            </w:r>
          </w:p>
        </w:tc>
      </w:tr>
      <w:tr>
        <w:tc>
          <w:tcPr>
            <w:tcW w:type="dxa" w:w="4968"/>
          </w:tcPr>
          <w:p>
            <w:r>
              <w:t>Queue</w:t>
            </w:r>
          </w:p>
        </w:tc>
        <w:tc>
          <w:tcPr>
            <w:tcW w:type="dxa" w:w="4968"/>
          </w:tcPr>
          <w:p>
            <w:r>
              <w:t>SQS + DLQ</w:t>
            </w:r>
          </w:p>
        </w:tc>
      </w:tr>
      <w:tr>
        <w:tc>
          <w:tcPr>
            <w:tcW w:type="dxa" w:w="4968"/>
          </w:tcPr>
          <w:p>
            <w:r>
              <w:t>Events</w:t>
            </w:r>
          </w:p>
        </w:tc>
        <w:tc>
          <w:tcPr>
            <w:tcW w:type="dxa" w:w="4968"/>
          </w:tcPr>
          <w:p>
            <w:r>
              <w:t>EventBridge</w:t>
            </w:r>
          </w:p>
        </w:tc>
      </w:tr>
      <w:tr>
        <w:tc>
          <w:tcPr>
            <w:tcW w:type="dxa" w:w="4968"/>
          </w:tcPr>
          <w:p>
            <w:r>
              <w:t>Long workflows</w:t>
            </w:r>
          </w:p>
        </w:tc>
        <w:tc>
          <w:tcPr>
            <w:tcW w:type="dxa" w:w="4968"/>
          </w:tcPr>
          <w:p>
            <w:r>
              <w:t>Step Functions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Cognito / enterprise IdP</w:t>
            </w:r>
          </w:p>
        </w:tc>
      </w:tr>
      <w:tr>
        <w:tc>
          <w:tcPr>
            <w:tcW w:type="dxa" w:w="4968"/>
          </w:tcPr>
          <w:p>
            <w:r>
              <w:t>Secrets</w:t>
            </w:r>
          </w:p>
        </w:tc>
        <w:tc>
          <w:tcPr>
            <w:tcW w:type="dxa" w:w="4968"/>
          </w:tcPr>
          <w:p>
            <w:r>
              <w:t>Secrets Manager</w:t>
            </w:r>
          </w:p>
        </w:tc>
      </w:tr>
      <w:tr>
        <w:tc>
          <w:tcPr>
            <w:tcW w:type="dxa" w:w="4968"/>
          </w:tcPr>
          <w:p>
            <w:r>
              <w:t>Keys</w:t>
            </w:r>
          </w:p>
        </w:tc>
        <w:tc>
          <w:tcPr>
            <w:tcW w:type="dxa" w:w="4968"/>
          </w:tcPr>
          <w:p>
            <w:r>
              <w:t>KMS</w:t>
            </w:r>
          </w:p>
        </w:tc>
      </w:tr>
      <w:tr>
        <w:tc>
          <w:tcPr>
            <w:tcW w:type="dxa" w:w="4968"/>
          </w:tcPr>
          <w:p>
            <w:r>
              <w:t>Observability</w:t>
            </w:r>
          </w:p>
        </w:tc>
        <w:tc>
          <w:tcPr>
            <w:tcW w:type="dxa" w:w="4968"/>
          </w:tcPr>
          <w:p>
            <w:r>
              <w:t>CloudWatch + OpenTelemetry</w:t>
            </w:r>
          </w:p>
        </w:tc>
      </w:tr>
      <w:tr>
        <w:tc>
          <w:tcPr>
            <w:tcW w:type="dxa" w:w="4968"/>
          </w:tcPr>
          <w:p>
            <w:r>
              <w:t>Container registry</w:t>
            </w:r>
          </w:p>
        </w:tc>
        <w:tc>
          <w:tcPr>
            <w:tcW w:type="dxa" w:w="4968"/>
          </w:tcPr>
          <w:p>
            <w:r>
              <w:t>ECR</w:t>
            </w:r>
          </w:p>
        </w:tc>
      </w:tr>
      <w:tr>
        <w:tc>
          <w:tcPr>
            <w:tcW w:type="dxa" w:w="4968"/>
          </w:tcPr>
          <w:p>
            <w:r>
              <w:t>IaC</w:t>
            </w:r>
          </w:p>
        </w:tc>
        <w:tc>
          <w:tcPr>
            <w:tcW w:type="dxa" w:w="4968"/>
          </w:tcPr>
          <w:p>
            <w:r>
              <w:t>Terraform or AWS CDK</w:t>
            </w:r>
          </w:p>
        </w:tc>
      </w:tr>
    </w:tbl>
    <w:p>
      <w:pPr>
        <w:pStyle w:val="Heading1"/>
      </w:pPr>
      <w:r>
        <w:t>2. Environment Strategy</w:t>
      </w:r>
    </w:p>
    <w:p>
      <w:pPr>
        <w:pStyle w:val="ListBullet"/>
      </w:pPr>
      <w:r>
        <w:t>Local: Docker Compose with PostgreSQL, Redis, API, worker, and mock integrations.</w:t>
      </w:r>
    </w:p>
    <w:p>
      <w:pPr>
        <w:pStyle w:val="ListBullet"/>
      </w:pPr>
      <w:r>
        <w:t>Development: isolated AWS account/environment.</w:t>
      </w:r>
    </w:p>
    <w:p>
      <w:pPr>
        <w:pStyle w:val="ListBullet"/>
      </w:pPr>
      <w:r>
        <w:t>Staging: production-like topology and evaluation suite.</w:t>
      </w:r>
    </w:p>
    <w:p>
      <w:pPr>
        <w:pStyle w:val="ListBullet"/>
      </w:pPr>
      <w:r>
        <w:t>Production: separate account, restricted IAM, backups, alarms, deployment approvals.</w:t>
      </w:r>
    </w:p>
    <w:p>
      <w:pPr>
        <w:pStyle w:val="ListBullet"/>
      </w:pPr>
      <w:r>
        <w:t>Never share production credentials with local development.</w:t>
      </w:r>
    </w:p>
    <w:p>
      <w:pPr>
        <w:pStyle w:val="Heading1"/>
      </w:pPr>
      <w:r>
        <w:t>3. IAM Principles</w:t>
      </w:r>
    </w:p>
    <w:p>
      <w:pPr>
        <w:pStyle w:val="ListBullet"/>
      </w:pPr>
      <w:r>
        <w:t>One role per workload where practical.</w:t>
      </w:r>
    </w:p>
    <w:p>
      <w:pPr>
        <w:pStyle w:val="ListBullet"/>
      </w:pPr>
      <w:r>
        <w:t>Least privilege; no wildcard permissions unless explicitly justified.</w:t>
      </w:r>
    </w:p>
    <w:p>
      <w:pPr>
        <w:pStyle w:val="ListBullet"/>
      </w:pPr>
      <w:r>
        <w:t>Separate read and write roles.</w:t>
      </w:r>
    </w:p>
    <w:p>
      <w:pPr>
        <w:pStyle w:val="ListBullet"/>
      </w:pPr>
      <w:r>
        <w:t>Use short-lived credentials and workload identity.</w:t>
      </w:r>
    </w:p>
    <w:p>
      <w:pPr>
        <w:pStyle w:val="ListBullet"/>
      </w:pPr>
      <w:r>
        <w:t>Use AgentCore Identity for governed third-party credentials where applicable.</w:t>
      </w:r>
    </w:p>
    <w:p>
      <w:pPr>
        <w:pStyle w:val="ListBullet"/>
      </w:pPr>
      <w:r>
        <w:t>Do not put API keys in prompts, code, container images, or logs.</w:t>
      </w:r>
    </w:p>
    <w:p>
      <w:pPr>
        <w:pStyle w:val="Heading1"/>
      </w:pPr>
      <w:r>
        <w:t>4. Agent Security Boundary</w:t>
      </w:r>
    </w:p>
    <w:p>
      <w:r>
        <w:rPr>
          <w:rFonts w:ascii="Courier New" w:hAnsi="Courier New"/>
          <w:sz w:val="17"/>
        </w:rPr>
        <w:t xml:space="preserve">                 LLM</w:t>
        <w:br/>
        <w:t xml:space="preserve">                  |</w:t>
        <w:br/>
        <w:t xml:space="preserve">          proposed tool call</w:t>
        <w:br/>
        <w:t xml:space="preserve">                  |</w:t>
        <w:br/>
        <w:t xml:space="preserve">          Tool Authorization Layer</w:t>
        <w:br/>
        <w:t xml:space="preserve">          /        |          \</w:t>
        <w:br/>
        <w:t xml:space="preserve">       tenant     role       policy</w:t>
        <w:br/>
        <w:t xml:space="preserve">          \        |          /</w:t>
        <w:br/>
        <w:t xml:space="preserve">               Tool Gateway</w:t>
        <w:br/>
        <w:t xml:space="preserve">                    |</w:t>
        <w:br/>
        <w:t xml:space="preserve">              actual API call</w:t>
      </w:r>
    </w:p>
    <w:p>
      <w:pPr>
        <w:pStyle w:val="Heading1"/>
      </w:pPr>
      <w:r>
        <w:t>5. Secrets</w:t>
      </w:r>
    </w:p>
    <w:p>
      <w:pPr>
        <w:pStyle w:val="ListBullet"/>
      </w:pPr>
      <w:r>
        <w:t>Secrets Manager for third-party credentials.</w:t>
      </w:r>
    </w:p>
    <w:p>
      <w:pPr>
        <w:pStyle w:val="ListBullet"/>
      </w:pPr>
      <w:r>
        <w:t>KMS encryption.</w:t>
      </w:r>
    </w:p>
    <w:p>
      <w:pPr>
        <w:pStyle w:val="ListBullet"/>
      </w:pPr>
      <w:r>
        <w:t>Rotation where supported.</w:t>
      </w:r>
    </w:p>
    <w:p>
      <w:pPr>
        <w:pStyle w:val="ListBullet"/>
      </w:pPr>
      <w:r>
        <w:t>Reference secrets by identifier, never by plaintext in application configuration.</w:t>
      </w:r>
    </w:p>
    <w:p>
      <w:pPr>
        <w:pStyle w:val="ListBullet"/>
      </w:pPr>
      <w:r>
        <w:t>Redact secrets and tokens from logs.</w:t>
      </w:r>
    </w:p>
    <w:p>
      <w:pPr>
        <w:pStyle w:val="Heading1"/>
      </w:pPr>
      <w:r>
        <w:t>6. Network Security</w:t>
      </w:r>
    </w:p>
    <w:p>
      <w:pPr>
        <w:pStyle w:val="ListBullet"/>
      </w:pPr>
      <w:r>
        <w:t>Private subnets for database and internal services.</w:t>
      </w:r>
    </w:p>
    <w:p>
      <w:pPr>
        <w:pStyle w:val="ListBullet"/>
      </w:pPr>
      <w:r>
        <w:t>Restrict outbound access where feasible.</w:t>
      </w:r>
    </w:p>
    <w:p>
      <w:pPr>
        <w:pStyle w:val="ListBullet"/>
      </w:pPr>
      <w:r>
        <w:t>Security groups with explicit service-to-service rules.</w:t>
      </w:r>
    </w:p>
    <w:p>
      <w:pPr>
        <w:pStyle w:val="ListBullet"/>
      </w:pPr>
      <w:r>
        <w:t>VPC endpoints for AWS services where justified.</w:t>
      </w:r>
    </w:p>
    <w:p>
      <w:pPr>
        <w:pStyle w:val="ListBullet"/>
      </w:pPr>
      <w:r>
        <w:t>WAF rules for public APIs.</w:t>
      </w:r>
    </w:p>
    <w:p>
      <w:pPr>
        <w:pStyle w:val="ListBullet"/>
      </w:pPr>
      <w:r>
        <w:t>Rate limiting and abuse protection.</w:t>
      </w:r>
    </w:p>
    <w:p>
      <w:pPr>
        <w:pStyle w:val="Heading1"/>
      </w:pPr>
      <w:r>
        <w:t>7. Data Protection</w:t>
      </w:r>
    </w:p>
    <w:p>
      <w:pPr>
        <w:pStyle w:val="ListBullet"/>
      </w:pPr>
      <w:r>
        <w:t>TLS for all network communication.</w:t>
      </w:r>
    </w:p>
    <w:p>
      <w:pPr>
        <w:pStyle w:val="ListBullet"/>
      </w:pPr>
      <w:r>
        <w:t>Encryption at rest using AWS-managed or customer-managed KMS keys as appropriate.</w:t>
      </w:r>
    </w:p>
    <w:p>
      <w:pPr>
        <w:pStyle w:val="ListBullet"/>
      </w:pPr>
      <w:r>
        <w:t>PII classification and minimization.</w:t>
      </w:r>
    </w:p>
    <w:p>
      <w:pPr>
        <w:pStyle w:val="ListBullet"/>
      </w:pPr>
      <w:r>
        <w:t>Configurable retention policies.</w:t>
      </w:r>
    </w:p>
    <w:p>
      <w:pPr>
        <w:pStyle w:val="ListBullet"/>
      </w:pPr>
      <w:r>
        <w:t>Tenant-scoped access controls for documents and embeddings.</w:t>
      </w:r>
    </w:p>
    <w:p>
      <w:pPr>
        <w:pStyle w:val="ListBullet"/>
      </w:pPr>
      <w:r>
        <w:t>Audit access to sensitive data.</w:t>
      </w:r>
    </w:p>
    <w:p>
      <w:pPr>
        <w:pStyle w:val="Heading1"/>
      </w:pPr>
      <w:r>
        <w:t>8. CI/CD</w:t>
      </w:r>
    </w:p>
    <w:p>
      <w:r>
        <w:rPr>
          <w:rFonts w:ascii="Courier New" w:hAnsi="Courier New"/>
          <w:sz w:val="17"/>
        </w:rPr>
        <w:t>Pull Request</w:t>
        <w:br/>
        <w:t xml:space="preserve"> -&gt; formatting/lint</w:t>
        <w:br/>
        <w:t xml:space="preserve"> -&gt; type checking</w:t>
        <w:br/>
        <w:t xml:space="preserve"> -&gt; unit tests</w:t>
        <w:br/>
        <w:t xml:space="preserve"> -&gt; integration tests</w:t>
        <w:br/>
        <w:t xml:space="preserve"> -&gt; database migration validation</w:t>
        <w:br/>
        <w:t xml:space="preserve"> -&gt; security/dependency scan</w:t>
        <w:br/>
        <w:t xml:space="preserve"> -&gt; agent evaluation subset</w:t>
        <w:br/>
        <w:t xml:space="preserve"> -&gt; build container</w:t>
        <w:br/>
        <w:t xml:space="preserve"> -&gt; push ECR</w:t>
        <w:br/>
        <w:t xml:space="preserve"> -&gt; deploy staging</w:t>
        <w:br/>
        <w:t xml:space="preserve"> -&gt; smoke tests</w:t>
        <w:br/>
        <w:t xml:space="preserve"> -&gt; evaluation gate</w:t>
        <w:br/>
        <w:t xml:space="preserve"> -&gt; production approval</w:t>
        <w:br/>
        <w:t xml:space="preserve"> -&gt; canary/rolling deployment</w:t>
        <w:br/>
        <w:t xml:space="preserve"> -&gt; post-deploy checks</w:t>
      </w:r>
    </w:p>
    <w:p>
      <w:pPr>
        <w:pStyle w:val="Heading1"/>
      </w:pPr>
      <w:r>
        <w:t>9. Infrastructure as Code</w:t>
      </w:r>
    </w:p>
    <w:p>
      <w:pPr>
        <w:pStyle w:val="ListBullet"/>
      </w:pPr>
      <w:r>
        <w:t>All AWS resources created through Terraform or CDK.</w:t>
      </w:r>
    </w:p>
    <w:p>
      <w:pPr>
        <w:pStyle w:val="ListBullet"/>
      </w:pPr>
      <w:r>
        <w:t>No undocumented production console changes.</w:t>
      </w:r>
    </w:p>
    <w:p>
      <w:pPr>
        <w:pStyle w:val="ListBullet"/>
      </w:pPr>
      <w:r>
        <w:t>Remote state protected and locked.</w:t>
      </w:r>
    </w:p>
    <w:p>
      <w:pPr>
        <w:pStyle w:val="ListBullet"/>
      </w:pPr>
      <w:r>
        <w:t>Environment-specific variables stored securely.</w:t>
      </w:r>
    </w:p>
    <w:p>
      <w:pPr>
        <w:pStyle w:val="ListBullet"/>
      </w:pPr>
      <w:r>
        <w:t>Infrastructure changes reviewed through pull requests.</w:t>
      </w:r>
    </w:p>
    <w:p>
      <w:pPr>
        <w:pStyle w:val="Heading1"/>
      </w:pPr>
      <w:r>
        <w:t>10. Observability</w:t>
      </w:r>
    </w:p>
    <w:p>
      <w:r>
        <w:t>Use OpenTelemetry as the application-level telemetry standard. OpenTelemetry defines traces, metrics, logs, and baggage, while AWS AgentCore can emit OpenTelemetry-compatible telemetry and expose agent execution metrics through CloudWatch. citeturn0search13turn0search2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Signal</w:t>
            </w:r>
          </w:p>
        </w:tc>
        <w:tc>
          <w:tcPr>
            <w:tcW w:type="dxa" w:w="4968"/>
          </w:tcPr>
          <w:p>
            <w:r>
              <w:t>Important fields</w:t>
            </w:r>
          </w:p>
        </w:tc>
      </w:tr>
      <w:tr>
        <w:tc>
          <w:tcPr>
            <w:tcW w:type="dxa" w:w="4968"/>
          </w:tcPr>
          <w:p>
            <w:r>
              <w:t>Trace</w:t>
            </w:r>
          </w:p>
        </w:tc>
        <w:tc>
          <w:tcPr>
            <w:tcW w:type="dxa" w:w="4968"/>
          </w:tcPr>
          <w:p>
            <w:r>
              <w:t>trace_id, workflow_id, org_id, agent, model, tool, status</w:t>
            </w:r>
          </w:p>
        </w:tc>
      </w:tr>
      <w:tr>
        <w:tc>
          <w:tcPr>
            <w:tcW w:type="dxa" w:w="4968"/>
          </w:tcPr>
          <w:p>
            <w:r>
              <w:t>Span</w:t>
            </w:r>
          </w:p>
        </w:tc>
        <w:tc>
          <w:tcPr>
            <w:tcW w:type="dxa" w:w="4968"/>
          </w:tcPr>
          <w:p>
            <w:r>
              <w:t>latency, input/output references, token usage, provider</w:t>
            </w:r>
          </w:p>
        </w:tc>
      </w:tr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workflow success, latency, tool failures, cost</w:t>
            </w:r>
          </w:p>
        </w:tc>
      </w:tr>
      <w:tr>
        <w:tc>
          <w:tcPr>
            <w:tcW w:type="dxa" w:w="4968"/>
          </w:tcPr>
          <w:p>
            <w:r>
              <w:t>Log</w:t>
            </w:r>
          </w:p>
        </w:tc>
        <w:tc>
          <w:tcPr>
            <w:tcW w:type="dxa" w:w="4968"/>
          </w:tcPr>
          <w:p>
            <w:r>
              <w:t>structured JSON, severity, correlation IDs</w:t>
            </w:r>
          </w:p>
        </w:tc>
      </w:tr>
    </w:tbl>
    <w:p>
      <w:pPr>
        <w:pStyle w:val="Heading1"/>
      </w:pPr>
      <w:r>
        <w:t>11. Alerts</w:t>
      </w:r>
    </w:p>
    <w:p>
      <w:pPr>
        <w:pStyle w:val="ListBullet"/>
      </w:pPr>
      <w:r>
        <w:t>API 5xx rate.</w:t>
      </w:r>
    </w:p>
    <w:p>
      <w:pPr>
        <w:pStyle w:val="ListBullet"/>
      </w:pPr>
      <w:r>
        <w:t>Queue age.</w:t>
      </w:r>
    </w:p>
    <w:p>
      <w:pPr>
        <w:pStyle w:val="ListBullet"/>
      </w:pPr>
      <w:r>
        <w:t>DLQ depth.</w:t>
      </w:r>
    </w:p>
    <w:p>
      <w:pPr>
        <w:pStyle w:val="ListBullet"/>
      </w:pPr>
      <w:r>
        <w:t>Agent timeout rate.</w:t>
      </w:r>
    </w:p>
    <w:p>
      <w:pPr>
        <w:pStyle w:val="ListBullet"/>
      </w:pPr>
      <w:r>
        <w:t>Model/provider error rate.</w:t>
      </w:r>
    </w:p>
    <w:p>
      <w:pPr>
        <w:pStyle w:val="ListBullet"/>
      </w:pPr>
      <w:r>
        <w:t>Tool failure rate.</w:t>
      </w:r>
    </w:p>
    <w:p>
      <w:pPr>
        <w:pStyle w:val="ListBullet"/>
      </w:pPr>
      <w:r>
        <w:t>Policy rejection spikes.</w:t>
      </w:r>
    </w:p>
    <w:p>
      <w:pPr>
        <w:pStyle w:val="ListBullet"/>
      </w:pPr>
      <w:r>
        <w:t>Cost per workflow above threshold.</w:t>
      </w:r>
    </w:p>
    <w:p>
      <w:pPr>
        <w:pStyle w:val="ListBullet"/>
      </w:pPr>
      <w:r>
        <w:t>Unexpected cross-tenant authorization failures.</w:t>
      </w:r>
    </w:p>
    <w:p>
      <w:pPr>
        <w:pStyle w:val="ListBullet"/>
      </w:pPr>
      <w:r>
        <w:t>Database CPU/storage/connections.</w:t>
      </w:r>
    </w:p>
    <w:p>
      <w:pPr>
        <w:pStyle w:val="Heading1"/>
      </w:pPr>
      <w:r>
        <w:t>12. Backup and Recovery</w:t>
      </w:r>
    </w:p>
    <w:p>
      <w:pPr>
        <w:pStyle w:val="ListBullet"/>
      </w:pPr>
      <w:r>
        <w:t>Automated PostgreSQL backups and point-in-time recovery.</w:t>
      </w:r>
    </w:p>
    <w:p>
      <w:pPr>
        <w:pStyle w:val="ListBullet"/>
      </w:pPr>
      <w:r>
        <w:t>S3 versioning for important artifacts.</w:t>
      </w:r>
    </w:p>
    <w:p>
      <w:pPr>
        <w:pStyle w:val="ListBullet"/>
      </w:pPr>
      <w:r>
        <w:t>Documented RPO/RTO.</w:t>
      </w:r>
    </w:p>
    <w:p>
      <w:pPr>
        <w:pStyle w:val="ListBullet"/>
      </w:pPr>
      <w:r>
        <w:t>Periodic restore drills.</w:t>
      </w:r>
    </w:p>
    <w:p>
      <w:pPr>
        <w:pStyle w:val="ListBullet"/>
      </w:pPr>
      <w:r>
        <w:t>Infrastructure can be recreated from IaC.</w:t>
      </w:r>
    </w:p>
    <w:p>
      <w:pPr>
        <w:pStyle w:val="ListBullet"/>
      </w:pPr>
      <w:r>
        <w:t>Do not consider backups successful until restoration is tested.</w:t>
      </w:r>
    </w:p>
    <w:p>
      <w:pPr>
        <w:pStyle w:val="Heading1"/>
      </w:pPr>
      <w:r>
        <w:t>13. Production Security Checklist</w:t>
      </w:r>
    </w:p>
    <w:p>
      <w:pPr>
        <w:pStyle w:val="ListBullet"/>
      </w:pPr>
      <w:r>
        <w:t>Tenant isolation tests passing.</w:t>
      </w:r>
    </w:p>
    <w:p>
      <w:pPr>
        <w:pStyle w:val="ListBullet"/>
      </w:pPr>
      <w:r>
        <w:t>Least-privilege IAM reviewed.</w:t>
      </w:r>
    </w:p>
    <w:p>
      <w:pPr>
        <w:pStyle w:val="ListBullet"/>
      </w:pPr>
      <w:r>
        <w:t>Secrets not present in repository/image/logs.</w:t>
      </w:r>
    </w:p>
    <w:p>
      <w:pPr>
        <w:pStyle w:val="ListBullet"/>
      </w:pPr>
      <w:r>
        <w:t>WAF/rate limits enabled.</w:t>
      </w:r>
    </w:p>
    <w:p>
      <w:pPr>
        <w:pStyle w:val="ListBullet"/>
      </w:pPr>
      <w:r>
        <w:t>Audit trail enabled.</w:t>
      </w:r>
    </w:p>
    <w:p>
      <w:pPr>
        <w:pStyle w:val="ListBullet"/>
      </w:pPr>
      <w:r>
        <w:t>Approval workflows tested.</w:t>
      </w:r>
    </w:p>
    <w:p>
      <w:pPr>
        <w:pStyle w:val="ListBullet"/>
      </w:pPr>
      <w:r>
        <w:t>Prompt-injection suite passing.</w:t>
      </w:r>
    </w:p>
    <w:p>
      <w:pPr>
        <w:pStyle w:val="ListBullet"/>
      </w:pPr>
      <w:r>
        <w:t>Dependency/container scanning enabled.</w:t>
      </w:r>
    </w:p>
    <w:p>
      <w:pPr>
        <w:pStyle w:val="ListBullet"/>
      </w:pPr>
      <w:r>
        <w:t>Backups verified.</w:t>
      </w:r>
    </w:p>
    <w:p>
      <w:pPr>
        <w:pStyle w:val="ListBullet"/>
      </w:pPr>
      <w:r>
        <w:t>Incident response procedure documented.</w:t>
      </w:r>
    </w:p>
    <w:p>
      <w:pPr>
        <w:pStyle w:val="Heading1"/>
      </w:pPr>
      <w:r>
        <w:t>14. AgentCore Integration Strategy</w:t>
      </w:r>
    </w:p>
    <w:p>
      <w:r>
        <w:t>AgentCore is an optional managed layer, not the application architecture itself. Use Runtime when managed agent execution/isolation is beneficial; Memory for appropriate persistent agent memory; Gateway for governed tool/API exposure; Identity for outbound credentials; and Observability for managed agent telemetry. Current AWS documentation states that Runtime supports custom/open-source frameworks including LangGraph and LangChain-based workloads and multiple model providers. citeturn0search8turn0search11</w:t>
      </w:r>
    </w:p>
    <w:p>
      <w:pPr>
        <w:pStyle w:val="Heading1"/>
      </w:pPr>
      <w:r>
        <w:t>15. Current AWS Operational Notes</w:t>
      </w:r>
    </w:p>
    <w:p>
      <w:r>
        <w:t>Current AgentCore documentation recommends distributed tracing, consistent session IDs, custom attributes, resource monitoring, and alarms. AWS also documents AgentCore Identity for securely managing outbound credentials and recommends least-privilege execution roles. citeturn0search1turn0search7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AgentFlow Technical Documentation — Draft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