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7AD4" w14:textId="61ABA219" w:rsidR="00B005F5" w:rsidRPr="00B005F5" w:rsidRDefault="00B005F5" w:rsidP="00B00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5F5">
        <w:rPr>
          <w:rFonts w:ascii="Times New Roman" w:eastAsia="Times New Roman" w:hAnsi="Times New Roman" w:cs="Times New Roman"/>
          <w:b/>
          <w:bCs/>
          <w:kern w:val="0"/>
          <w:sz w:val="36"/>
          <w:szCs w:val="36"/>
          <w14:ligatures w14:val="none"/>
        </w:rPr>
        <w:t xml:space="preserve">Peer Review  </w:t>
      </w:r>
      <w:r w:rsidRPr="00B005F5">
        <w:rPr>
          <w:rFonts w:ascii="Times New Roman" w:eastAsia="Times New Roman" w:hAnsi="Times New Roman" w:cs="Times New Roman"/>
          <w:b/>
          <w:bCs/>
          <w:i/>
          <w:iCs/>
          <w:kern w:val="0"/>
          <w:sz w:val="36"/>
          <w:szCs w:val="36"/>
          <w14:ligatures w14:val="none"/>
        </w:rPr>
        <w:t>Scientific Reports</w:t>
      </w:r>
    </w:p>
    <w:p w14:paraId="43F7EEE8"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Manuscript:</w:t>
      </w:r>
      <w:r w:rsidRPr="00B005F5">
        <w:rPr>
          <w:rFonts w:ascii="Times New Roman" w:eastAsia="Times New Roman" w:hAnsi="Times New Roman" w:cs="Times New Roman"/>
          <w:kern w:val="0"/>
          <w14:ligatures w14:val="none"/>
        </w:rPr>
        <w:t xml:space="preserve"> Machine Learning Analysis of Factors Influencing Skilled Birth Attendance in Burkina Faso: Assessing Spatial Inequalities Using Imbalanced Survey Data</w:t>
      </w:r>
    </w:p>
    <w:p w14:paraId="19951698" w14:textId="3508253C" w:rsidR="00B005F5" w:rsidRPr="00B005F5" w:rsidRDefault="00B005F5" w:rsidP="00B005F5">
      <w:pPr>
        <w:spacing w:after="0" w:line="240" w:lineRule="auto"/>
        <w:rPr>
          <w:rFonts w:ascii="Times New Roman" w:eastAsia="Times New Roman" w:hAnsi="Times New Roman" w:cs="Times New Roman"/>
          <w:kern w:val="0"/>
          <w14:ligatures w14:val="none"/>
        </w:rPr>
      </w:pPr>
    </w:p>
    <w:p w14:paraId="079096AB" w14:textId="5F88A191"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05F5">
        <w:rPr>
          <w:rFonts w:ascii="Times New Roman" w:eastAsia="Times New Roman" w:hAnsi="Times New Roman" w:cs="Times New Roman"/>
          <w:b/>
          <w:bCs/>
          <w:kern w:val="0"/>
          <w:sz w:val="27"/>
          <w:szCs w:val="27"/>
          <w14:ligatures w14:val="none"/>
        </w:rPr>
        <w:t xml:space="preserve">1. </w:t>
      </w:r>
      <w:r>
        <w:rPr>
          <w:rFonts w:ascii="Times New Roman" w:eastAsia="Times New Roman" w:hAnsi="Times New Roman" w:cs="Times New Roman"/>
          <w:b/>
          <w:bCs/>
          <w:kern w:val="0"/>
          <w:sz w:val="27"/>
          <w:szCs w:val="27"/>
          <w14:ligatures w14:val="none"/>
        </w:rPr>
        <w:t>SUMMARY</w:t>
      </w:r>
    </w:p>
    <w:p w14:paraId="50F0E29B" w14:textId="1076814F"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 xml:space="preserve">This cross-sectional study uses data from the 2021 Burkina Faso Demographic and Health Survey (N = 5,111) to identify predictors of skilled birth attendance (SBA) using five machine learning algorithms (Random Forest, Decision Tree, KNN, Logistic Regression, and SVM), supplemented by Boruta feature selection, SMOTE oversampling, SHAP-based interpretability, and province-level spatial prediction mapping. The Random Forest model achieved the best discriminatory performance (AUROC = 0.71), and the most influential predictors identified via SHAP included province (Sahel), antenatal care utilization, maternal age at first birth, age at first sexual intercourse, household wealth, and religion. Spatial analyses reveal a core-periphery gradient of SBA coverage, with peripheral provinces  particularly Sahel, Sud-Ouest, and Est  exhibiting the lowest predicted probabilities. While the topic is relevant to global maternal health, and the methodological combination of ML interpretability with spatial mapping has genuine pedagogical appeal, the manuscript suffers from fundamental statistical and conceptual flaws that currently preclude publication in a Q1 journal such as </w:t>
      </w:r>
      <w:r w:rsidRPr="00B005F5">
        <w:rPr>
          <w:rFonts w:ascii="Times New Roman" w:eastAsia="Times New Roman" w:hAnsi="Times New Roman" w:cs="Times New Roman"/>
          <w:i/>
          <w:iCs/>
          <w:kern w:val="0"/>
          <w14:ligatures w14:val="none"/>
        </w:rPr>
        <w:t>Scientific Reports</w:t>
      </w:r>
      <w:r w:rsidRPr="00B005F5">
        <w:rPr>
          <w:rFonts w:ascii="Times New Roman" w:eastAsia="Times New Roman" w:hAnsi="Times New Roman" w:cs="Times New Roman"/>
          <w:kern w:val="0"/>
          <w14:ligatures w14:val="none"/>
        </w:rPr>
        <w:t>. The contradiction between very high accuracy (89.4%) and very low MCC/Kappa (0.30/0.31) is never resolved, DHS survey weights are entirely absent from all analyses, the SMOTE procedure is applied in a manner that risks data leakage, and the reference list contains multiple non-scientific or duplicated sources. Major revision is required at minimum; rejection and resubmission may be appropriate depending on the extent of corrections possible.</w:t>
      </w:r>
    </w:p>
    <w:p w14:paraId="44322EE6" w14:textId="3755267A"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 xml:space="preserve">Overall recommendation: </w:t>
      </w:r>
      <w:r>
        <w:rPr>
          <w:rFonts w:ascii="Times New Roman" w:eastAsia="Times New Roman" w:hAnsi="Times New Roman" w:cs="Times New Roman"/>
          <w:b/>
          <w:bCs/>
          <w:kern w:val="0"/>
          <w14:ligatures w14:val="none"/>
        </w:rPr>
        <w:t>Major revision</w:t>
      </w:r>
    </w:p>
    <w:p w14:paraId="543DF82F" w14:textId="549A0D96" w:rsidR="00B005F5" w:rsidRPr="00B005F5" w:rsidRDefault="00B005F5" w:rsidP="00B005F5">
      <w:pPr>
        <w:spacing w:after="0" w:line="240" w:lineRule="auto"/>
        <w:rPr>
          <w:rFonts w:ascii="Times New Roman" w:eastAsia="Times New Roman" w:hAnsi="Times New Roman" w:cs="Times New Roman"/>
          <w:kern w:val="0"/>
          <w14:ligatures w14:val="none"/>
        </w:rPr>
      </w:pPr>
    </w:p>
    <w:p w14:paraId="6866F99D" w14:textId="196D608A"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05F5">
        <w:rPr>
          <w:rFonts w:ascii="Times New Roman" w:eastAsia="Times New Roman" w:hAnsi="Times New Roman" w:cs="Times New Roman"/>
          <w:b/>
          <w:bCs/>
          <w:kern w:val="0"/>
          <w:sz w:val="27"/>
          <w:szCs w:val="27"/>
          <w14:ligatures w14:val="none"/>
        </w:rPr>
        <w:t xml:space="preserve">2. </w:t>
      </w:r>
      <w:r>
        <w:rPr>
          <w:rFonts w:ascii="Times New Roman" w:eastAsia="Times New Roman" w:hAnsi="Times New Roman" w:cs="Times New Roman"/>
          <w:b/>
          <w:bCs/>
          <w:kern w:val="0"/>
          <w:sz w:val="27"/>
          <w:szCs w:val="27"/>
          <w14:ligatures w14:val="none"/>
        </w:rPr>
        <w:t>ORIGINALITY</w:t>
      </w:r>
    </w:p>
    <w:p w14:paraId="31873340" w14:textId="061D23E2"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research question  applying interpretable ML to DHS data to understand SBA determinants and spatial inequalities in Burkina Faso  is topically relevant and aligns with the growing interest in ML applications in global health. The integration of SHAP explainability with province-level prediction mapping is a reasonable methodological contribution for a national-level DHS-based study.</w:t>
      </w:r>
      <w:r>
        <w:rPr>
          <w:rFonts w:ascii="Times New Roman" w:eastAsia="Times New Roman" w:hAnsi="Times New Roman" w:cs="Times New Roman"/>
          <w:kern w:val="0"/>
          <w14:ligatures w14:val="none"/>
        </w:rPr>
        <w:t xml:space="preserve"> </w:t>
      </w:r>
      <w:r w:rsidRPr="00B005F5">
        <w:rPr>
          <w:rFonts w:ascii="Times New Roman" w:eastAsia="Times New Roman" w:hAnsi="Times New Roman" w:cs="Times New Roman"/>
          <w:kern w:val="0"/>
          <w14:ligatures w14:val="none"/>
        </w:rPr>
        <w:t xml:space="preserve">However, the originality claim is overstated. The Introduction asserts that "ML-based methods have not been used to investigate maternal health issues in West Africa" (citing refs 19, 20), yet the cited references (Langlois et al., 2016, on user fee policy; Fekadu &amp; Regassa, 2014, on rural-urban differentials) are not ML studies and do not support this claim. The reference Walle et al. (2025), cited elsewhere in the manuscript, applies ML to predict home delivery in East Africa and directly contradicts the claimed novelty. The gap justification must be rewritten with accurate and targeted citations. </w:t>
      </w:r>
    </w:p>
    <w:p w14:paraId="2AC5EB81" w14:textId="2BCC3856" w:rsidR="00B005F5" w:rsidRPr="00B005F5" w:rsidRDefault="00B005F5" w:rsidP="00B005F5">
      <w:pPr>
        <w:spacing w:after="0" w:line="240" w:lineRule="auto"/>
        <w:rPr>
          <w:rFonts w:ascii="Times New Roman" w:eastAsia="Times New Roman" w:hAnsi="Times New Roman" w:cs="Times New Roman"/>
          <w:kern w:val="0"/>
          <w14:ligatures w14:val="none"/>
        </w:rPr>
      </w:pPr>
    </w:p>
    <w:p w14:paraId="4C599E04" w14:textId="32D18AF2" w:rsidR="00B005F5" w:rsidRPr="00B005F5" w:rsidRDefault="00B005F5" w:rsidP="00B005F5">
      <w:pPr>
        <w:spacing w:after="0" w:line="240" w:lineRule="auto"/>
        <w:rPr>
          <w:rFonts w:ascii="Times New Roman" w:eastAsia="Times New Roman" w:hAnsi="Times New Roman" w:cs="Times New Roman"/>
          <w:kern w:val="0"/>
          <w14:ligatures w14:val="none"/>
        </w:rPr>
      </w:pPr>
    </w:p>
    <w:p w14:paraId="250FD88B" w14:textId="3D4BA716"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Pr="00B005F5">
        <w:rPr>
          <w:rFonts w:ascii="Times New Roman" w:eastAsia="Times New Roman" w:hAnsi="Times New Roman" w:cs="Times New Roman"/>
          <w:b/>
          <w:bCs/>
          <w:kern w:val="0"/>
          <w:sz w:val="27"/>
          <w:szCs w:val="27"/>
          <w14:ligatures w14:val="none"/>
        </w:rPr>
        <w:t>. INTRODUCTION</w:t>
      </w:r>
    </w:p>
    <w:p w14:paraId="6BF32535"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Introduction is structured with a recognizable funnel progression from global burden to the Burkinabè context and then to the analytical gap. The description of SBA as a proxy for maternal health improvement (paragraph 2) is grounded and appropriately cited. The three objectives stated at the end of the Introduction are clear, specific, and measurable.</w:t>
      </w:r>
    </w:p>
    <w:p w14:paraId="69E764DA"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However, two substantial issues weaken the Introduction. First, the false novelty claim regarding ML in West African maternal health (discussed in §2) undermines the gap statement and should be corrected with accurate literature. Second, the Introduction mentions both SHAP and LIME as interpretability tools (paragraph 4: "SHapley Additive exPlanations (SHAP) and Local Interpretable Model-agnostic Explanations (LIME)"), yet LIME results are never reported anywhere in the Results or Discussion sections. Either LIME was conducted and results should be reported, or this mention should be removed entirely to avoid misleading the reader about the scope of the analyses performed.</w:t>
      </w:r>
    </w:p>
    <w:p w14:paraId="6D14F01C" w14:textId="5580372D" w:rsidR="00B005F5" w:rsidRPr="00B005F5" w:rsidRDefault="00B005F5" w:rsidP="00B005F5">
      <w:pPr>
        <w:spacing w:after="0" w:line="240" w:lineRule="auto"/>
        <w:rPr>
          <w:rFonts w:ascii="Times New Roman" w:eastAsia="Times New Roman" w:hAnsi="Times New Roman" w:cs="Times New Roman"/>
          <w:kern w:val="0"/>
          <w14:ligatures w14:val="none"/>
        </w:rPr>
      </w:pPr>
    </w:p>
    <w:p w14:paraId="574C581C" w14:textId="4B129880"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Pr="00B005F5">
        <w:rPr>
          <w:rFonts w:ascii="Times New Roman" w:eastAsia="Times New Roman" w:hAnsi="Times New Roman" w:cs="Times New Roman"/>
          <w:b/>
          <w:bCs/>
          <w:kern w:val="0"/>
          <w:sz w:val="27"/>
          <w:szCs w:val="27"/>
          <w14:ligatures w14:val="none"/>
        </w:rPr>
        <w:t>. M</w:t>
      </w:r>
      <w:r>
        <w:rPr>
          <w:rFonts w:ascii="Times New Roman" w:eastAsia="Times New Roman" w:hAnsi="Times New Roman" w:cs="Times New Roman"/>
          <w:b/>
          <w:bCs/>
          <w:kern w:val="0"/>
          <w:sz w:val="27"/>
          <w:szCs w:val="27"/>
          <w14:ligatures w14:val="none"/>
        </w:rPr>
        <w:t>E</w:t>
      </w:r>
      <w:r w:rsidRPr="00B005F5">
        <w:rPr>
          <w:rFonts w:ascii="Times New Roman" w:eastAsia="Times New Roman" w:hAnsi="Times New Roman" w:cs="Times New Roman"/>
          <w:b/>
          <w:bCs/>
          <w:kern w:val="0"/>
          <w:sz w:val="27"/>
          <w:szCs w:val="27"/>
          <w14:ligatures w14:val="none"/>
        </w:rPr>
        <w:t>THOD</w:t>
      </w:r>
      <w:r>
        <w:rPr>
          <w:rFonts w:ascii="Times New Roman" w:eastAsia="Times New Roman" w:hAnsi="Times New Roman" w:cs="Times New Roman"/>
          <w:b/>
          <w:bCs/>
          <w:kern w:val="0"/>
          <w:sz w:val="27"/>
          <w:szCs w:val="27"/>
          <w14:ligatures w14:val="none"/>
        </w:rPr>
        <w:t>S</w:t>
      </w:r>
    </w:p>
    <w:p w14:paraId="26DD0044" w14:textId="7F83EC75"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Study design and data source:</w:t>
      </w:r>
      <w:r w:rsidRPr="00B005F5">
        <w:rPr>
          <w:rFonts w:ascii="Times New Roman" w:eastAsia="Times New Roman" w:hAnsi="Times New Roman" w:cs="Times New Roman"/>
          <w:kern w:val="0"/>
          <w14:ligatures w14:val="none"/>
        </w:rPr>
        <w:t xml:space="preserve"> The cross-sectional design using DHS data is appropriate for the stated objectives. The description of the stratified two-stage cluster sampling design of the BF-DHS is accurate. However, the single most critical methodological omission in the entire manuscript is the complete absence of DHS complex survey design adjustments  specifically, the non-application of sampling weights, clustering corrections, and stratification in any of the five ML models or in the descriptive statistics. DHS data are collected under a probability-proportional-to-size design with urban oversampling; failure to apply survey weights produces biased prevalence estimates and biased covariate distributions. For machine learning models trained on DHS data, this is a well-recognized source of bias that inflates apparent model performance and distorts feature importance rankings. The authors must either apply case weights in all models (feasible in R's caret framework via the </w:t>
      </w:r>
      <w:r w:rsidRPr="00B005F5">
        <w:rPr>
          <w:rFonts w:ascii="Courier New" w:eastAsia="Times New Roman" w:hAnsi="Courier New" w:cs="Courier New"/>
          <w:kern w:val="0"/>
          <w:sz w:val="20"/>
          <w:szCs w:val="20"/>
          <w14:ligatures w14:val="none"/>
        </w:rPr>
        <w:t>weights</w:t>
      </w:r>
      <w:r w:rsidRPr="00B005F5">
        <w:rPr>
          <w:rFonts w:ascii="Times New Roman" w:eastAsia="Times New Roman" w:hAnsi="Times New Roman" w:cs="Times New Roman"/>
          <w:kern w:val="0"/>
          <w14:ligatures w14:val="none"/>
        </w:rPr>
        <w:t xml:space="preserve"> argument) or explicitly justify the decision not to do so with a quantitative sensitivity analysis demonstrating that results are robust to unweighted estimation.</w:t>
      </w:r>
    </w:p>
    <w:p w14:paraId="075FFF3B" w14:textId="03133DBE"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Sample and eligibility:</w:t>
      </w:r>
      <w:r w:rsidRPr="00B005F5">
        <w:rPr>
          <w:rFonts w:ascii="Times New Roman" w:eastAsia="Times New Roman" w:hAnsi="Times New Roman" w:cs="Times New Roman"/>
          <w:kern w:val="0"/>
          <w14:ligatures w14:val="none"/>
        </w:rPr>
        <w:t xml:space="preserve"> The eligibility criterion stating "Initially, at least one birth in the last five years and whose most recent child was alive were included" is ambiguous: it is unclear why restricting to women whose most recent child was alive is necessary, and this criterion may introduce survivorship bias by systematically excluding women who experienced neonatal deaths  a population particularly relevant to SBA research, since poor birth outcomes are more common in unskilled deliveries. This criterion must be explicitly justified or removed.</w:t>
      </w:r>
    </w:p>
    <w:p w14:paraId="08CF3BB3"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 xml:space="preserve">The sample description mentions "5,111 ever-married women," yet the DHS typically collects data on all women aged 15–49 regardless of marital status; the restriction to ever-married women </w:t>
      </w:r>
      <w:r w:rsidRPr="00B005F5">
        <w:rPr>
          <w:rFonts w:ascii="Times New Roman" w:eastAsia="Times New Roman" w:hAnsi="Times New Roman" w:cs="Times New Roman"/>
          <w:kern w:val="0"/>
          <w14:ligatures w14:val="none"/>
        </w:rPr>
        <w:lastRenderedPageBreak/>
        <w:t>is not described or justified in the Methods and may limit generalizability. The CONSORT-style flowchart (Figure 1) is referenced but not available for review; this must be provided.</w:t>
      </w:r>
    </w:p>
    <w:p w14:paraId="1131FD86" w14:textId="14345175"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SMOTE and data leakage:</w:t>
      </w:r>
      <w:r w:rsidRPr="00B005F5">
        <w:rPr>
          <w:rFonts w:ascii="Times New Roman" w:eastAsia="Times New Roman" w:hAnsi="Times New Roman" w:cs="Times New Roman"/>
          <w:kern w:val="0"/>
          <w14:ligatures w14:val="none"/>
        </w:rPr>
        <w:t xml:space="preserve"> The manuscript states that SMOTE was applied "only to the training dataset," which is the correct approach. However, Boruta feature selection is described as having been applied "prior to model training," with no explicit statement that it was conducted only on the training data. If Boruta was applied to the full dataset before the train/test split, this constitutes information leakage  a fundamental violation of machine learning validation principles that would inflate all reported performance metrics, particularly for the Random Forest model which uses feature importance internally. Authors must clarify the precise order of operations: split → Boruta on training set only → SMOTE on training set only → model training → evaluation on unseen test set. A revised analytical pipeline diagram would greatly aid reproducibility.</w:t>
      </w:r>
    </w:p>
    <w:p w14:paraId="45D7B9B2" w14:textId="3625A829"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The accuracy-MCC paradox:</w:t>
      </w:r>
      <w:r w:rsidRPr="00B005F5">
        <w:rPr>
          <w:rFonts w:ascii="Times New Roman" w:eastAsia="Times New Roman" w:hAnsi="Times New Roman" w:cs="Times New Roman"/>
          <w:kern w:val="0"/>
          <w14:ligatures w14:val="none"/>
        </w:rPr>
        <w:t xml:space="preserve"> Table 1 reports RF accuracy of 89.4% alongside MCC of 0.31 and Kappa of 0.30. This extreme discordance between accuracy and MCC/Kappa is a well-documented consequence of applying accuracy to severely imbalanced datasets. An MCC of 0.31 corresponds to a weak-to-moderate classifier  a finding inconsistent with the narrative throughout the manuscript, which describes the RF model as achieving "robust discriminatory performance." At 90.4% SBA prevalence, a naive classifier that predicts "skilled" for every observation would achieve 90.4% accuracy with MCC = 0, Kappa = 0, and AUROC = 0.50. The RF's reported accuracy of 89.4% is actually </w:t>
      </w:r>
      <w:r w:rsidRPr="00B005F5">
        <w:rPr>
          <w:rFonts w:ascii="Times New Roman" w:eastAsia="Times New Roman" w:hAnsi="Times New Roman" w:cs="Times New Roman"/>
          <w:i/>
          <w:iCs/>
          <w:kern w:val="0"/>
          <w14:ligatures w14:val="none"/>
        </w:rPr>
        <w:t>lower</w:t>
      </w:r>
      <w:r w:rsidRPr="00B005F5">
        <w:rPr>
          <w:rFonts w:ascii="Times New Roman" w:eastAsia="Times New Roman" w:hAnsi="Times New Roman" w:cs="Times New Roman"/>
          <w:kern w:val="0"/>
          <w14:ligatures w14:val="none"/>
        </w:rPr>
        <w:t xml:space="preserve"> than this trivial baseline, yet the authors describe accuracy as a performance strength. The entire performance narrative must be rewritten to center on MCC, Kappa, and AUROC as the appropriate metrics for this severely imbalanced setting, and the current framing of 89.4% accuracy as a positive result must be explicitly corrected.</w:t>
      </w:r>
    </w:p>
    <w:p w14:paraId="7FFBCE75" w14:textId="5DB0EF48"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SMOTE on a 90.4%/9.6% split:</w:t>
      </w:r>
      <w:r w:rsidRPr="00B005F5">
        <w:rPr>
          <w:rFonts w:ascii="Times New Roman" w:eastAsia="Times New Roman" w:hAnsi="Times New Roman" w:cs="Times New Roman"/>
          <w:kern w:val="0"/>
          <w14:ligatures w14:val="none"/>
        </w:rPr>
        <w:t xml:space="preserve"> The decision to use SMOTE to create a 50/50 training balance from a 90.4%/9.6% split is methodologically aggressive and creates a synthetic training distribution that differs substantially from the real-world population. The authors acknowledge this in Supplementary Figure S2 but do not discuss its implications for the generalizability of SHAP values computed on this artificially balanced training set. SHAP values derived from a SMOTE-balanced model reflect predictor importance in a world where 50% of births are unskilled  not the actual 9.6% real-world prevalence. This is a fundamental validity threat to the interpretability analysis, which is the manuscript's primary analytical contribution. A sensitivity analysis comparing SHAP values from the SMOTE model with those from an unbalanced model (using class weights instead of synthetic oversampling) is required.</w:t>
      </w:r>
    </w:p>
    <w:p w14:paraId="7A2C54D0" w14:textId="67D87472"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t>Missing data:</w:t>
      </w:r>
      <w:r w:rsidRPr="00B005F5">
        <w:rPr>
          <w:rFonts w:ascii="Times New Roman" w:eastAsia="Times New Roman" w:hAnsi="Times New Roman" w:cs="Times New Roman"/>
          <w:kern w:val="0"/>
          <w14:ligatures w14:val="none"/>
        </w:rPr>
        <w:t xml:space="preserve"> Multiple imputation by chained equations (MICE) is an appropriate method. The statement that "estimates were pooled using Rubin's rules" implies that the ML models were trained on pooled imputed datasets  a technically complex procedure. The authors should clarify whether ML models were trained on a single imputed dataset or whether pooling was performed across multiply imputed datasets, and if the latter, describe the specific pooling strategy for non-parametric models such as Random Forest, for which Rubin's rules do not directly apply.</w:t>
      </w:r>
    </w:p>
    <w:p w14:paraId="11BEA893"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b/>
          <w:bCs/>
          <w:kern w:val="0"/>
          <w14:ligatures w14:val="none"/>
        </w:rPr>
        <w:lastRenderedPageBreak/>
        <w:t>Calibration:</w:t>
      </w:r>
      <w:r w:rsidRPr="00B005F5">
        <w:rPr>
          <w:rFonts w:ascii="Times New Roman" w:eastAsia="Times New Roman" w:hAnsi="Times New Roman" w:cs="Times New Roman"/>
          <w:kern w:val="0"/>
          <w14:ligatures w14:val="none"/>
        </w:rPr>
        <w:t xml:space="preserve"> Calibration plots are described but the calibration methodology is not specified. Were Platt scaling, isotonic regression, or raw predicted probabilities used? For Random Forest, which is known to produce poorly calibrated probabilities, this is a non-trivial issue. The claim that "Random Forest and SVM models produced well-calibrated probability estimates" requires quantitative support (e.g., Brier score, Hosmer-Lemeshow statistic or its equivalent for ML models).</w:t>
      </w:r>
    </w:p>
    <w:p w14:paraId="29276C22" w14:textId="2C6F58E8" w:rsidR="00B005F5" w:rsidRPr="00B005F5" w:rsidRDefault="00B005F5" w:rsidP="00B005F5">
      <w:pPr>
        <w:spacing w:after="0" w:line="240" w:lineRule="auto"/>
        <w:rPr>
          <w:rFonts w:ascii="Times New Roman" w:eastAsia="Times New Roman" w:hAnsi="Times New Roman" w:cs="Times New Roman"/>
          <w:kern w:val="0"/>
          <w14:ligatures w14:val="none"/>
        </w:rPr>
      </w:pPr>
    </w:p>
    <w:p w14:paraId="686C20DA" w14:textId="0C194635"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Pr="00B005F5">
        <w:rPr>
          <w:rFonts w:ascii="Times New Roman" w:eastAsia="Times New Roman" w:hAnsi="Times New Roman" w:cs="Times New Roman"/>
          <w:b/>
          <w:bCs/>
          <w:kern w:val="0"/>
          <w:sz w:val="27"/>
          <w:szCs w:val="27"/>
          <w14:ligatures w14:val="none"/>
        </w:rPr>
        <w:t>. R</w:t>
      </w:r>
      <w:r>
        <w:rPr>
          <w:rFonts w:ascii="Times New Roman" w:eastAsia="Times New Roman" w:hAnsi="Times New Roman" w:cs="Times New Roman"/>
          <w:b/>
          <w:bCs/>
          <w:kern w:val="0"/>
          <w:sz w:val="27"/>
          <w:szCs w:val="27"/>
          <w14:ligatures w14:val="none"/>
        </w:rPr>
        <w:t>E</w:t>
      </w:r>
      <w:r w:rsidRPr="00B005F5">
        <w:rPr>
          <w:rFonts w:ascii="Times New Roman" w:eastAsia="Times New Roman" w:hAnsi="Times New Roman" w:cs="Times New Roman"/>
          <w:b/>
          <w:bCs/>
          <w:kern w:val="0"/>
          <w:sz w:val="27"/>
          <w:szCs w:val="27"/>
          <w14:ligatures w14:val="none"/>
        </w:rPr>
        <w:t>SULTS</w:t>
      </w:r>
    </w:p>
    <w:p w14:paraId="1735367F" w14:textId="40A71A13"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Results section presents findings in a logical. However, several issues require attention.</w:t>
      </w:r>
    </w:p>
    <w:p w14:paraId="6F785DCE"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descriptive results report that "only 9.6% delivered without skilled assistance," which would imply an SBA rate of 90.4%. This is inconsistent with published data for Burkina Faso (DHS 2021 report indicates national SBA coverage of approximately 67%), and the discrepancy is never acknowledged or explained. This suggests either an analytical error in outcome coding, a consequence of restricting to ever-married women with a surviving youngest child, or a data processing error. This is a critical finding that fundamentally undermines the validity of all subsequent analyses and must be resolved before publication.</w:t>
      </w:r>
    </w:p>
    <w:p w14:paraId="77B3A676" w14:textId="65A014EE"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reporting of SHAP results ("Overview of global feature importance") contains premature causal language: "women in the Sahel region have predominantly negative SHAP values, indicating low chances of skilled birth attendance." SHAP values indicate model-predicted associations, not causal effects; the language should reflect this. More specifically, SHAP values from a SMOTE-trained model may not map cleanly onto population-level probability estimates, and this distinction must be clearly stated.</w:t>
      </w:r>
    </w:p>
    <w:p w14:paraId="4205FC05"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Results section references LIME (mentioned in the Introduction) but reports no LIME outputs. This omission is inconsistent with the manuscript's analytical claims and must be reconciled.</w:t>
      </w:r>
    </w:p>
    <w:p w14:paraId="7AA22F18" w14:textId="4C8B2DCE"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No confidence intervals are reported for any of the performance metrics in Table 1 (accuracy, AUROC, MCC, Kappa). For a single train/test split evaluation, confidence intervals  computable by bootstrapping  are essential to characterize uncertainty in model performance estimates. Their absence makes it impossible to determine whether performance differences between models are statistically meaningful.</w:t>
      </w:r>
    </w:p>
    <w:p w14:paraId="3AF59F69" w14:textId="347CA269" w:rsidR="00B005F5" w:rsidRPr="00B005F5" w:rsidRDefault="00B005F5" w:rsidP="00B005F5">
      <w:pPr>
        <w:spacing w:after="0" w:line="240" w:lineRule="auto"/>
        <w:rPr>
          <w:rFonts w:ascii="Times New Roman" w:eastAsia="Times New Roman" w:hAnsi="Times New Roman" w:cs="Times New Roman"/>
          <w:kern w:val="0"/>
          <w14:ligatures w14:val="none"/>
        </w:rPr>
      </w:pPr>
    </w:p>
    <w:p w14:paraId="7BF14400" w14:textId="7EAE9959"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w:t>
      </w:r>
      <w:r w:rsidRPr="00B005F5">
        <w:rPr>
          <w:rFonts w:ascii="Times New Roman" w:eastAsia="Times New Roman" w:hAnsi="Times New Roman" w:cs="Times New Roman"/>
          <w:b/>
          <w:bCs/>
          <w:kern w:val="0"/>
          <w:sz w:val="27"/>
          <w:szCs w:val="27"/>
          <w14:ligatures w14:val="none"/>
        </w:rPr>
        <w:t>. DISCUSSION</w:t>
      </w:r>
    </w:p>
    <w:p w14:paraId="71CAB16D"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Discussion appropriately connects findings to the prior literature on SBA determinants in sub-Saharan Africa and engages constructively with the spatial heterogeneity literature. The identification of Sahel province as the strongest negative predictor is consistent with known security and infrastructure challenges in that region and is well-contextualized.</w:t>
      </w:r>
    </w:p>
    <w:p w14:paraId="0805A55A" w14:textId="12691FC4"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lastRenderedPageBreak/>
        <w:t>However, the Discussion does not address the most critical findings that undermine the manuscript's conclusions. The SBA prevalence anomaly (90.4% skilled vs. the published national estimate of ~67%) is never discussed. The accuracy-MCC paradox is never resolved. The implications of SMOTE-derived SHAP values for the validity of the interpretability analysis are never examined. These are not minor omissions  they are the methodological core of the paper, and a Discussion that does not engage with them cannot be considered scientifically complete.</w:t>
      </w:r>
    </w:p>
    <w:p w14:paraId="5BA51FD2"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policy implications section is generic and does not derive specifically from the ML findings. Statements such as "high-burden areas, especially rural Sahel, should receive policy interventions" are well-established in the prior literature and do not require ML to support them. The authors should articulate what their ML-specific findings (e.g., the relative ranking of predictors, or the detection of non-linear interactions) add to policy guidance beyond what conventional logistic regression would provide.</w:t>
      </w:r>
    </w:p>
    <w:p w14:paraId="68C2A8FB" w14:textId="65F45334"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The limitations section identifies cross-sectional design, missing contextual variables, SMOTE representativeness, and recall bias  all valid and relevant. However, the absence of survey weights, the SBA prevalence discrepancy, potential leakage from Boruta applied pre-split, and the SHAP-SMOTE validity issue are all unacknowledged limitations of greater methodological significance than those listed.</w:t>
      </w:r>
    </w:p>
    <w:p w14:paraId="0ED9A264" w14:textId="7DAEC305" w:rsidR="00B005F5" w:rsidRPr="00B005F5" w:rsidRDefault="00B005F5" w:rsidP="00B005F5">
      <w:pPr>
        <w:spacing w:after="0" w:line="240" w:lineRule="auto"/>
        <w:rPr>
          <w:rFonts w:ascii="Times New Roman" w:eastAsia="Times New Roman" w:hAnsi="Times New Roman" w:cs="Times New Roman"/>
          <w:kern w:val="0"/>
          <w14:ligatures w14:val="none"/>
        </w:rPr>
      </w:pPr>
    </w:p>
    <w:p w14:paraId="4E379DCF" w14:textId="2FE3BC05" w:rsidR="00B005F5" w:rsidRPr="00B005F5" w:rsidRDefault="00B005F5" w:rsidP="00B00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Pr="00B005F5">
        <w:rPr>
          <w:rFonts w:ascii="Times New Roman" w:eastAsia="Times New Roman" w:hAnsi="Times New Roman" w:cs="Times New Roman"/>
          <w:b/>
          <w:bCs/>
          <w:kern w:val="0"/>
          <w:sz w:val="27"/>
          <w:szCs w:val="27"/>
          <w14:ligatures w14:val="none"/>
        </w:rPr>
        <w:t>. R</w:t>
      </w:r>
      <w:r>
        <w:rPr>
          <w:rFonts w:ascii="Times New Roman" w:eastAsia="Times New Roman" w:hAnsi="Times New Roman" w:cs="Times New Roman"/>
          <w:b/>
          <w:bCs/>
          <w:kern w:val="0"/>
          <w:sz w:val="27"/>
          <w:szCs w:val="27"/>
          <w14:ligatures w14:val="none"/>
        </w:rPr>
        <w:t>E</w:t>
      </w:r>
      <w:r w:rsidRPr="00B005F5">
        <w:rPr>
          <w:rFonts w:ascii="Times New Roman" w:eastAsia="Times New Roman" w:hAnsi="Times New Roman" w:cs="Times New Roman"/>
          <w:b/>
          <w:bCs/>
          <w:kern w:val="0"/>
          <w:sz w:val="27"/>
          <w:szCs w:val="27"/>
          <w14:ligatures w14:val="none"/>
        </w:rPr>
        <w:t>F</w:t>
      </w:r>
      <w:r>
        <w:rPr>
          <w:rFonts w:ascii="Times New Roman" w:eastAsia="Times New Roman" w:hAnsi="Times New Roman" w:cs="Times New Roman"/>
          <w:b/>
          <w:bCs/>
          <w:kern w:val="0"/>
          <w:sz w:val="27"/>
          <w:szCs w:val="27"/>
          <w14:ligatures w14:val="none"/>
        </w:rPr>
        <w:t>E</w:t>
      </w:r>
      <w:r w:rsidRPr="00B005F5">
        <w:rPr>
          <w:rFonts w:ascii="Times New Roman" w:eastAsia="Times New Roman" w:hAnsi="Times New Roman" w:cs="Times New Roman"/>
          <w:b/>
          <w:bCs/>
          <w:kern w:val="0"/>
          <w:sz w:val="27"/>
          <w:szCs w:val="27"/>
          <w14:ligatures w14:val="none"/>
        </w:rPr>
        <w:t>RENCES</w:t>
      </w:r>
    </w:p>
    <w:p w14:paraId="46ADF2FA"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 xml:space="preserve">The reference list contains several serious quality issues that are inconsistent with </w:t>
      </w:r>
      <w:r w:rsidRPr="00B005F5">
        <w:rPr>
          <w:rFonts w:ascii="Times New Roman" w:eastAsia="Times New Roman" w:hAnsi="Times New Roman" w:cs="Times New Roman"/>
          <w:i/>
          <w:iCs/>
          <w:kern w:val="0"/>
          <w14:ligatures w14:val="none"/>
        </w:rPr>
        <w:t>Scientific Reports</w:t>
      </w:r>
      <w:r w:rsidRPr="00B005F5">
        <w:rPr>
          <w:rFonts w:ascii="Times New Roman" w:eastAsia="Times New Roman" w:hAnsi="Times New Roman" w:cs="Times New Roman"/>
          <w:kern w:val="0"/>
          <w14:ligatures w14:val="none"/>
        </w:rPr>
        <w:t xml:space="preserve"> standards.</w:t>
      </w:r>
    </w:p>
    <w:p w14:paraId="1A4F466D"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References 33 (WIKIPEDIA, "k-nearest neighbors algorithm"), 44 (wikipedia, "Cohen's kappa"), 45 (Powers, from an unidentified preprint without a DOI or journal), 46 (geekforgeeks, "Evaluation Metrics in Machine Learning"), and 47 (TechMedia Post, "Machine Learning Model Explainability with SHAP and LIME") are non-peer-reviewed, informal online sources and must be replaced with primary peer-reviewed publications. The use of Wikipedia and a commercial tech blog as scientific references in a Q1 journal submission is not acceptable.</w:t>
      </w:r>
    </w:p>
    <w:p w14:paraId="2E9E5167" w14:textId="6928EA26"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Reference 27 (Santacroce &amp; Barclay, 2025, on birth order and Swedish educational attainment) is cited as the source for the SBA outcome definition  a citation that has no topical connection whatsoever to SBA or the WHO definition thereof. The correct citation is the WHO/DHS definition documentation.</w:t>
      </w:r>
    </w:p>
    <w:p w14:paraId="0AA598BD"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References 4 and 31 are identical (Aldrich, 2020, on random forests in shapley regression), which constitutes a duplicate citation.</w:t>
      </w:r>
    </w:p>
    <w:p w14:paraId="0DE1469B" w14:textId="77777777" w:rsidR="00B005F5" w:rsidRPr="00B005F5" w:rsidRDefault="00B005F5" w:rsidP="00B005F5">
      <w:pPr>
        <w:spacing w:before="100" w:beforeAutospacing="1" w:after="100" w:afterAutospacing="1" w:line="240" w:lineRule="auto"/>
        <w:rPr>
          <w:rFonts w:ascii="Times New Roman" w:eastAsia="Times New Roman" w:hAnsi="Times New Roman" w:cs="Times New Roman"/>
          <w:kern w:val="0"/>
          <w14:ligatures w14:val="none"/>
        </w:rPr>
      </w:pPr>
      <w:r w:rsidRPr="00B005F5">
        <w:rPr>
          <w:rFonts w:ascii="Times New Roman" w:eastAsia="Times New Roman" w:hAnsi="Times New Roman" w:cs="Times New Roman"/>
          <w:kern w:val="0"/>
          <w14:ligatures w14:val="none"/>
        </w:rPr>
        <w:t>References 19 and 21 are identical (Langlois et al., 2016), constituting a second duplicate.</w:t>
      </w:r>
    </w:p>
    <w:p w14:paraId="44324389" w14:textId="7DB0C652" w:rsidR="00B005F5" w:rsidRPr="00B005F5" w:rsidRDefault="00B005F5" w:rsidP="00B005F5">
      <w:pPr>
        <w:spacing w:after="0" w:line="240" w:lineRule="auto"/>
        <w:rPr>
          <w:rFonts w:ascii="Times New Roman" w:eastAsia="Times New Roman" w:hAnsi="Times New Roman" w:cs="Times New Roman"/>
          <w:kern w:val="0"/>
          <w14:ligatures w14:val="none"/>
        </w:rPr>
      </w:pPr>
    </w:p>
    <w:sectPr w:rsidR="00B005F5" w:rsidRPr="00B005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F5"/>
    <w:rsid w:val="009F5A14"/>
    <w:rsid w:val="00B005F5"/>
  </w:rsids>
  <m:mathPr>
    <m:mathFont m:val="Cambria Math"/>
    <m:brkBin m:val="before"/>
    <m:brkBinSub m:val="--"/>
    <m:smallFrac m:val="0"/>
    <m:dispDef/>
    <m:lMargin m:val="0"/>
    <m:rMargin m:val="0"/>
    <m:defJc m:val="centerGroup"/>
    <m:wrapIndent m:val="1440"/>
    <m:intLim m:val="subSup"/>
    <m:naryLim m:val="undOvr"/>
  </m:mathPr>
  <w:themeFontLang w:val="en-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4D51"/>
  <w15:chartTrackingRefBased/>
  <w15:docId w15:val="{ABA2BFB5-46BE-6C47-B3CD-2AFCE2E7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F5"/>
    <w:rPr>
      <w:rFonts w:eastAsiaTheme="majorEastAsia" w:cstheme="majorBidi"/>
      <w:color w:val="272727" w:themeColor="text1" w:themeTint="D8"/>
    </w:rPr>
  </w:style>
  <w:style w:type="paragraph" w:styleId="Title">
    <w:name w:val="Title"/>
    <w:basedOn w:val="Normal"/>
    <w:next w:val="Normal"/>
    <w:link w:val="TitleChar"/>
    <w:uiPriority w:val="10"/>
    <w:qFormat/>
    <w:rsid w:val="00B00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F5"/>
    <w:pPr>
      <w:spacing w:before="160"/>
      <w:jc w:val="center"/>
    </w:pPr>
    <w:rPr>
      <w:i/>
      <w:iCs/>
      <w:color w:val="404040" w:themeColor="text1" w:themeTint="BF"/>
    </w:rPr>
  </w:style>
  <w:style w:type="character" w:customStyle="1" w:styleId="QuoteChar">
    <w:name w:val="Quote Char"/>
    <w:basedOn w:val="DefaultParagraphFont"/>
    <w:link w:val="Quote"/>
    <w:uiPriority w:val="29"/>
    <w:rsid w:val="00B005F5"/>
    <w:rPr>
      <w:i/>
      <w:iCs/>
      <w:color w:val="404040" w:themeColor="text1" w:themeTint="BF"/>
    </w:rPr>
  </w:style>
  <w:style w:type="paragraph" w:styleId="ListParagraph">
    <w:name w:val="List Paragraph"/>
    <w:basedOn w:val="Normal"/>
    <w:uiPriority w:val="34"/>
    <w:qFormat/>
    <w:rsid w:val="00B005F5"/>
    <w:pPr>
      <w:ind w:left="720"/>
      <w:contextualSpacing/>
    </w:pPr>
  </w:style>
  <w:style w:type="character" w:styleId="IntenseEmphasis">
    <w:name w:val="Intense Emphasis"/>
    <w:basedOn w:val="DefaultParagraphFont"/>
    <w:uiPriority w:val="21"/>
    <w:qFormat/>
    <w:rsid w:val="00B005F5"/>
    <w:rPr>
      <w:i/>
      <w:iCs/>
      <w:color w:val="0F4761" w:themeColor="accent1" w:themeShade="BF"/>
    </w:rPr>
  </w:style>
  <w:style w:type="paragraph" w:styleId="IntenseQuote">
    <w:name w:val="Intense Quote"/>
    <w:basedOn w:val="Normal"/>
    <w:next w:val="Normal"/>
    <w:link w:val="IntenseQuoteChar"/>
    <w:uiPriority w:val="30"/>
    <w:qFormat/>
    <w:rsid w:val="00B00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F5"/>
    <w:rPr>
      <w:i/>
      <w:iCs/>
      <w:color w:val="0F4761" w:themeColor="accent1" w:themeShade="BF"/>
    </w:rPr>
  </w:style>
  <w:style w:type="character" w:styleId="IntenseReference">
    <w:name w:val="Intense Reference"/>
    <w:basedOn w:val="DefaultParagraphFont"/>
    <w:uiPriority w:val="32"/>
    <w:qFormat/>
    <w:rsid w:val="00B005F5"/>
    <w:rPr>
      <w:b/>
      <w:bCs/>
      <w:smallCaps/>
      <w:color w:val="0F4761" w:themeColor="accent1" w:themeShade="BF"/>
      <w:spacing w:val="5"/>
    </w:rPr>
  </w:style>
  <w:style w:type="character" w:styleId="Emphasis">
    <w:name w:val="Emphasis"/>
    <w:basedOn w:val="DefaultParagraphFont"/>
    <w:uiPriority w:val="20"/>
    <w:qFormat/>
    <w:rsid w:val="00B005F5"/>
    <w:rPr>
      <w:i/>
      <w:iCs/>
    </w:rPr>
  </w:style>
  <w:style w:type="paragraph" w:customStyle="1" w:styleId="font-claude-response-body">
    <w:name w:val="font-claude-response-body"/>
    <w:basedOn w:val="Normal"/>
    <w:rsid w:val="00B005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5F5"/>
    <w:rPr>
      <w:b/>
      <w:bCs/>
    </w:rPr>
  </w:style>
  <w:style w:type="character" w:styleId="HTMLCode">
    <w:name w:val="HTML Code"/>
    <w:basedOn w:val="DefaultParagraphFont"/>
    <w:uiPriority w:val="99"/>
    <w:semiHidden/>
    <w:unhideWhenUsed/>
    <w:rsid w:val="00B005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2088</Words>
  <Characters>12655</Characters>
  <Application>Microsoft Office Word</Application>
  <DocSecurity>0</DocSecurity>
  <Lines>188</Lines>
  <Paragraphs>42</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2026-04-28T22:43:00Z</dcterms:created>
  <dcterms:modified xsi:type="dcterms:W3CDTF">2026-04-28T22:53:00Z</dcterms:modified>
  <cp:revision>1</cp:revision>
</cp:coreProperties>
</file>