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AE3D" w14:textId="77777777" w:rsidR="00A857BF" w:rsidRDefault="003770F6">
      <w:pPr>
        <w:pStyle w:val="Heading1"/>
      </w:pPr>
      <w:r>
        <w:t>Logistic Regression Analysis of Gender and Predictors</w:t>
      </w:r>
    </w:p>
    <w:p w14:paraId="168BAE3E" w14:textId="77777777" w:rsidR="00A857BF" w:rsidRDefault="003770F6">
      <w:r>
        <w:t>This report presents the results of the logistic regression analysis for the gender binary outcome.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191"/>
        <w:gridCol w:w="2846"/>
        <w:gridCol w:w="2846"/>
        <w:gridCol w:w="2846"/>
        <w:gridCol w:w="1277"/>
      </w:tblGrid>
      <w:tr w:rsidR="00A857BF" w14:paraId="168BAE44" w14:textId="77777777" w:rsidTr="003770F6">
        <w:trPr>
          <w:tblHeader/>
          <w:jc w:val="center"/>
        </w:trPr>
        <w:tc>
          <w:tcPr>
            <w:tcW w:w="12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3F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10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0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Odds_Ratio</w:t>
            </w:r>
            <w:proofErr w:type="spellEnd"/>
          </w:p>
        </w:tc>
        <w:tc>
          <w:tcPr>
            <w:tcW w:w="10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1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CI_Lower</w:t>
            </w:r>
            <w:proofErr w:type="spellEnd"/>
          </w:p>
        </w:tc>
        <w:tc>
          <w:tcPr>
            <w:tcW w:w="10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2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CI_Upper</w:t>
            </w:r>
            <w:proofErr w:type="spellEnd"/>
          </w:p>
        </w:tc>
        <w:tc>
          <w:tcPr>
            <w:tcW w:w="49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3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</w:tr>
      <w:tr w:rsidR="00A857BF" w14:paraId="168BAE4A" w14:textId="77777777" w:rsidTr="003770F6">
        <w:trPr>
          <w:jc w:val="center"/>
        </w:trPr>
        <w:tc>
          <w:tcPr>
            <w:tcW w:w="12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5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6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1.56817742591875</w:t>
            </w:r>
          </w:p>
        </w:tc>
        <w:tc>
          <w:tcPr>
            <w:tcW w:w="10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7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1.06513777276356</w:t>
            </w:r>
          </w:p>
        </w:tc>
        <w:tc>
          <w:tcPr>
            <w:tcW w:w="10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8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2.33193612250373</w:t>
            </w:r>
          </w:p>
        </w:tc>
        <w:tc>
          <w:tcPr>
            <w:tcW w:w="49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9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</w:tr>
      <w:tr w:rsidR="00A857BF" w14:paraId="168BAE50" w14:textId="77777777" w:rsidTr="003770F6">
        <w:trPr>
          <w:jc w:val="center"/>
        </w:trPr>
        <w:tc>
          <w:tcPr>
            <w:tcW w:w="12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B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residential_statusOn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Campus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C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1.21297276518573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D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0.791445246035884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E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1.84643354228797</w:t>
            </w:r>
          </w:p>
        </w:tc>
        <w:tc>
          <w:tcPr>
            <w:tcW w:w="4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4F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</w:t>
            </w:r>
          </w:p>
        </w:tc>
      </w:tr>
      <w:tr w:rsidR="00A857BF" w14:paraId="168BAE56" w14:textId="77777777" w:rsidTr="003770F6">
        <w:trPr>
          <w:jc w:val="center"/>
        </w:trPr>
        <w:tc>
          <w:tcPr>
            <w:tcW w:w="12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1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residential_statusWith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Family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2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0.563530488458506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3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0.341192823424693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4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0.926250379703244</w:t>
            </w:r>
          </w:p>
        </w:tc>
        <w:tc>
          <w:tcPr>
            <w:tcW w:w="4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5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</w:tr>
      <w:tr w:rsidR="00A857BF" w14:paraId="168BAE5C" w14:textId="77777777" w:rsidTr="003770F6">
        <w:trPr>
          <w:jc w:val="center"/>
        </w:trPr>
        <w:tc>
          <w:tcPr>
            <w:tcW w:w="12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7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studying_year2nd Year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8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1.73797050895075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9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1.0657038962094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A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2.89049392394424</w:t>
            </w:r>
          </w:p>
        </w:tc>
        <w:tc>
          <w:tcPr>
            <w:tcW w:w="4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B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</w:tr>
      <w:tr w:rsidR="00A857BF" w14:paraId="168BAE62" w14:textId="77777777" w:rsidTr="003770F6">
        <w:trPr>
          <w:jc w:val="center"/>
        </w:trPr>
        <w:tc>
          <w:tcPr>
            <w:tcW w:w="12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D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studying_year3rd Year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E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2.23716066767358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5F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1.38354697676727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0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3.70163914171324</w:t>
            </w:r>
          </w:p>
        </w:tc>
        <w:tc>
          <w:tcPr>
            <w:tcW w:w="4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1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A857BF" w14:paraId="168BAE68" w14:textId="77777777" w:rsidTr="003770F6">
        <w:trPr>
          <w:jc w:val="center"/>
        </w:trPr>
        <w:tc>
          <w:tcPr>
            <w:tcW w:w="12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3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studying_year4th Year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4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1.35201406117768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5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0.701734805991707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6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2.70483018755635</w:t>
            </w:r>
          </w:p>
        </w:tc>
        <w:tc>
          <w:tcPr>
            <w:tcW w:w="4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7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0.378</w:t>
            </w:r>
          </w:p>
        </w:tc>
      </w:tr>
      <w:tr w:rsidR="00A857BF" w14:paraId="168BAE6E" w14:textId="77777777" w:rsidTr="003770F6">
        <w:trPr>
          <w:jc w:val="center"/>
        </w:trPr>
        <w:tc>
          <w:tcPr>
            <w:tcW w:w="12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9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studying_yearGraduate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Student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A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1.70911397569729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B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0.9859745638244</w:t>
            </w:r>
          </w:p>
        </w:tc>
        <w:tc>
          <w:tcPr>
            <w:tcW w:w="10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C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3.05227039917731</w:t>
            </w:r>
          </w:p>
        </w:tc>
        <w:tc>
          <w:tcPr>
            <w:tcW w:w="49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AE6D" w14:textId="77777777" w:rsidR="00A857BF" w:rsidRDefault="003770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</w:tr>
    </w:tbl>
    <w:p w14:paraId="168BAE6F" w14:textId="77777777" w:rsidR="00A857BF" w:rsidRDefault="003770F6">
      <w:pPr>
        <w:pStyle w:val="Heading2"/>
      </w:pPr>
      <w:r>
        <w:t>Interpretation and Conclusion</w:t>
      </w:r>
    </w:p>
    <w:p w14:paraId="168BAE70" w14:textId="77777777" w:rsidR="00A857BF" w:rsidRDefault="003770F6">
      <w:r>
        <w:t>The following section presents the interpretation of the results and their implications.</w:t>
      </w:r>
    </w:p>
    <w:p w14:paraId="168BAE71" w14:textId="77777777" w:rsidR="00A857BF" w:rsidRDefault="003770F6">
      <w:r>
        <w:t>Significant predictors include residential status and studying year, indicating that these variables are crucial for understanding gender outcomes in this context. Non-significant predictors may be due to limited variability or other underlying factors that were not captured in the model.</w:t>
      </w:r>
    </w:p>
    <w:p w14:paraId="168BAE72" w14:textId="77777777" w:rsidR="00A857BF" w:rsidRDefault="003770F6">
      <w:r>
        <w:t>Limitations of the analysis include potential unmeasured confounders and sample size constraints. Further studies with larger sample sizes and additional control variables may help refine the findings.</w:t>
      </w:r>
    </w:p>
    <w:p w14:paraId="168BAE73" w14:textId="77777777" w:rsidR="00A857BF" w:rsidRDefault="003770F6">
      <w:r>
        <w:t>The findings of this analysis contribute to understanding the factors influencing gender differences in mental health outcomes, specifically in the context of socio-economic and academic pressures.</w:t>
      </w:r>
    </w:p>
    <w:sectPr w:rsidR="00A857BF" w:rsidSect="003770F6">
      <w:type w:val="continuous"/>
      <w:pgSz w:w="15840" w:h="24480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304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BF"/>
    <w:rsid w:val="00013026"/>
    <w:rsid w:val="003770F6"/>
    <w:rsid w:val="00A8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AE3D"/>
  <w15:docId w15:val="{A308A5D9-ED57-4423-9490-125F7B0C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ind w:left="79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muhammadsalekmiah@gmail.com</cp:lastModifiedBy>
  <cp:revision>11</cp:revision>
  <dcterms:created xsi:type="dcterms:W3CDTF">2017-02-28T11:18:00Z</dcterms:created>
  <dcterms:modified xsi:type="dcterms:W3CDTF">2024-11-18T15:24:00Z</dcterms:modified>
  <cp:category/>
</cp:coreProperties>
</file>