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DEC6" w14:textId="77777777" w:rsidR="00F93B83" w:rsidRDefault="00F93B83">
      <w:pPr>
        <w:spacing w:before="400"/>
      </w:pPr>
    </w:p>
    <w:p w14:paraId="0C1A42B3" w14:textId="77777777" w:rsidR="00F93B83" w:rsidRDefault="00000000">
      <w:pPr>
        <w:spacing w:after="160"/>
        <w:jc w:val="center"/>
      </w:pPr>
      <w:proofErr w:type="spellStart"/>
      <w:r>
        <w:rPr>
          <w:rFonts w:ascii="Arial" w:eastAsia="Arial" w:hAnsi="Arial" w:cs="Arial"/>
          <w:b/>
          <w:bCs/>
          <w:color w:val="1A3C6E"/>
          <w:sz w:val="34"/>
          <w:szCs w:val="34"/>
        </w:rPr>
        <w:t>PolicyShift</w:t>
      </w:r>
      <w:proofErr w:type="spellEnd"/>
      <w:r>
        <w:rPr>
          <w:rFonts w:ascii="Arial" w:eastAsia="Arial" w:hAnsi="Arial" w:cs="Arial"/>
          <w:b/>
          <w:bCs/>
          <w:color w:val="1A3C6E"/>
          <w:sz w:val="34"/>
          <w:szCs w:val="34"/>
        </w:rPr>
        <w:t>: A Counterfactual Simulation Platform for</w:t>
      </w:r>
    </w:p>
    <w:p w14:paraId="667D8EAA" w14:textId="77777777" w:rsidR="00F93B83" w:rsidRDefault="00000000">
      <w:pPr>
        <w:spacing w:after="200"/>
        <w:jc w:val="center"/>
      </w:pPr>
      <w:r>
        <w:rPr>
          <w:rFonts w:ascii="Arial" w:eastAsia="Arial" w:hAnsi="Arial" w:cs="Arial"/>
          <w:b/>
          <w:bCs/>
          <w:color w:val="1A3C6E"/>
          <w:sz w:val="34"/>
          <w:szCs w:val="34"/>
        </w:rPr>
        <w:t>Public Health Policy Decision-Making Using Survey Data and Machine Learning</w:t>
      </w:r>
    </w:p>
    <w:p w14:paraId="18E2DF80" w14:textId="77777777" w:rsidR="00F93B83" w:rsidRDefault="00F93B83">
      <w:pPr>
        <w:spacing w:before="80"/>
      </w:pPr>
    </w:p>
    <w:p w14:paraId="52A4E187" w14:textId="77777777" w:rsidR="00F93B83" w:rsidRDefault="00000000">
      <w:pPr>
        <w:spacing w:after="80"/>
        <w:jc w:val="center"/>
      </w:pPr>
      <w:r>
        <w:rPr>
          <w:b/>
          <w:bCs/>
        </w:rPr>
        <w:t xml:space="preserve">Keywords: </w:t>
      </w:r>
      <w:r>
        <w:rPr>
          <w:i/>
          <w:iCs/>
        </w:rPr>
        <w:t>Counterfactual analysis; public health policy; survey-weighted machine learning; R Shiny; decision support; explainable AI</w:t>
      </w:r>
    </w:p>
    <w:p w14:paraId="1A6CE272" w14:textId="77777777" w:rsidR="00F93B83" w:rsidRDefault="00000000">
      <w:pPr>
        <w:spacing w:after="40"/>
        <w:jc w:val="center"/>
      </w:pPr>
      <w:r>
        <w:rPr>
          <w:b/>
          <w:bCs/>
        </w:rPr>
        <w:t xml:space="preserve">Live Application: </w:t>
      </w:r>
      <w:hyperlink r:id="rId7" w:history="1">
        <w:r>
          <w:rPr>
            <w:color w:val="1155CC"/>
            <w:u w:val="single"/>
          </w:rPr>
          <w:t>https://salek.shinyapps.io/policyshift/</w:t>
        </w:r>
      </w:hyperlink>
    </w:p>
    <w:p w14:paraId="5E37E031" w14:textId="77777777" w:rsidR="00F93B83" w:rsidRDefault="00F93B83">
      <w:pPr>
        <w:pBdr>
          <w:bottom w:val="single" w:sz="6" w:space="0" w:color="CCCCCC"/>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3B83" w14:paraId="11B782C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DF2F9"/>
            <w:tcMar>
              <w:top w:w="180" w:type="dxa"/>
              <w:left w:w="280" w:type="dxa"/>
              <w:bottom w:w="180" w:type="dxa"/>
              <w:right w:w="280" w:type="dxa"/>
            </w:tcMar>
          </w:tcPr>
          <w:p w14:paraId="20A09B28" w14:textId="77777777" w:rsidR="00F93B83" w:rsidRDefault="00000000">
            <w:pPr>
              <w:spacing w:after="100"/>
            </w:pPr>
            <w:r>
              <w:rPr>
                <w:rFonts w:ascii="Arial" w:eastAsia="Arial" w:hAnsi="Arial" w:cs="Arial"/>
                <w:b/>
                <w:bCs/>
                <w:caps/>
                <w:color w:val="1A3C6E"/>
              </w:rPr>
              <w:t>ABSTRACT</w:t>
            </w:r>
          </w:p>
          <w:p w14:paraId="4C6D21D3" w14:textId="77777777" w:rsidR="00F93B83" w:rsidRDefault="00000000">
            <w:pPr>
              <w:spacing w:line="320" w:lineRule="auto"/>
              <w:jc w:val="both"/>
            </w:pPr>
            <w:r>
              <w:t xml:space="preserve">Public health policymakers regularly confront a fundamental counterfactual question: what would happen to population health outcomes if a specific policy lever—such as expanding girls' education, reducing household poverty, or broadening healthcare access—were modified while all other conditions remained constant? Conventional predictive dashboards forecast outcomes under historically observed patterns but are structurally incapable of answering prospective intervention queries. This paper introduces </w:t>
            </w:r>
            <w:proofErr w:type="spellStart"/>
            <w:r>
              <w:t>PolicyShift</w:t>
            </w:r>
            <w:proofErr w:type="spellEnd"/>
            <w:r>
              <w:t xml:space="preserve">, an interactive R Shiny platform that integrates survey-weighted machine learning with a counterfactual simulation engine to quantify the population-level impact of hypothetical policy changes. Users upload publicly available survey datasets—such as the Demographic and Health Surveys (DHS)—designate an outcome of interest (e.g., depression prevalence), train flexible predictive models (logistic regression, </w:t>
            </w:r>
            <w:proofErr w:type="spellStart"/>
            <w:r>
              <w:t>XGBoost</w:t>
            </w:r>
            <w:proofErr w:type="spellEnd"/>
            <w:r>
              <w:t xml:space="preserve">, Random Forest) incorporating complex-survey weights, and manipulate policy variables through intuitive sliders to generate counterfactual predictions. The system produces weighted prevalence change estimates with bootstrapped confidence intervals, subgroup forest plots, risk comparison </w:t>
            </w:r>
            <w:proofErr w:type="spellStart"/>
            <w:r>
              <w:t>visualisations</w:t>
            </w:r>
            <w:proofErr w:type="spellEnd"/>
            <w:r>
              <w:t xml:space="preserve">, and SHAP-based feature attribution. We demonstrate the platform on DHS data from Ethiopia, showing that raising female secondary school completion from 41% to 70% is associated with an estimated 8.2 percentage-point reduction (95% CI: 6.1–10.3) in depression prevalence. </w:t>
            </w:r>
            <w:proofErr w:type="spellStart"/>
            <w:r>
              <w:t>PolicyShift</w:t>
            </w:r>
            <w:proofErr w:type="spellEnd"/>
            <w:r>
              <w:t xml:space="preserve"> is open-source, requires no programming knowledge, and is purpose-built for policymakers, researchers, and graduate students seeking rapid, evidence-grounded scenario analyses.</w:t>
            </w:r>
          </w:p>
        </w:tc>
      </w:tr>
    </w:tbl>
    <w:p w14:paraId="481FFD8E" w14:textId="77777777" w:rsidR="00F93B83" w:rsidRDefault="00F93B83">
      <w:pPr>
        <w:spacing w:before="120"/>
      </w:pPr>
    </w:p>
    <w:p w14:paraId="0E4F0974" w14:textId="77777777" w:rsidR="00F93B83" w:rsidRDefault="00000000">
      <w:pPr>
        <w:pStyle w:val="Heading1"/>
        <w:spacing w:before="300"/>
      </w:pPr>
      <w:r>
        <w:t>1. Introduction</w:t>
      </w:r>
    </w:p>
    <w:p w14:paraId="092A6AF4" w14:textId="77777777" w:rsidR="00F93B83" w:rsidRDefault="00000000">
      <w:pPr>
        <w:spacing w:before="80" w:after="80" w:line="360" w:lineRule="auto"/>
        <w:jc w:val="both"/>
      </w:pPr>
      <w:r>
        <w:t xml:space="preserve">Public health policy decisions are intrinsically counterfactual in nature. When a ministry of health evaluates whether to increase investment in girls' secondary education, expand community health worker coverage, or introduce cash-transfer </w:t>
      </w:r>
      <w:proofErr w:type="spellStart"/>
      <w:r>
        <w:t>programmes</w:t>
      </w:r>
      <w:proofErr w:type="spellEnd"/>
      <w:r>
        <w:t xml:space="preserve"> targeting household poverty, the decision rests on an unobservable </w:t>
      </w:r>
      <w:r>
        <w:lastRenderedPageBreak/>
        <w:t xml:space="preserve">comparison: anticipated health outcomes under the proposed policy relative to outcomes under the prevailing status quo. </w:t>
      </w:r>
      <w:proofErr w:type="spellStart"/>
      <w:r>
        <w:t>Randomised</w:t>
      </w:r>
      <w:proofErr w:type="spellEnd"/>
      <w:r>
        <w:t xml:space="preserve"> controlled trials (RCTs) offer the methodological gold standard for estimating such effects, yet they are frequently infeasible, ethically impermissible, or prohibitively slow relative to decision timelines. Large-scale observational surveys—including the Demographic and Health Surveys (DHS), the Multiple Indicator Cluster Surveys (MICS), and national health and nutrition examination surveys—are abundantly collected but systematically </w:t>
      </w:r>
      <w:proofErr w:type="spellStart"/>
      <w:r>
        <w:t>underutilised</w:t>
      </w:r>
      <w:proofErr w:type="spellEnd"/>
      <w:r>
        <w:t xml:space="preserve"> for prospective policy simulation.</w:t>
      </w:r>
    </w:p>
    <w:p w14:paraId="3B55D4E1" w14:textId="77777777" w:rsidR="00F93B83" w:rsidRDefault="00000000">
      <w:pPr>
        <w:spacing w:before="80" w:after="80" w:line="360" w:lineRule="auto"/>
        <w:jc w:val="both"/>
      </w:pPr>
      <w:r>
        <w:t>Mainstream machine learning dashboards excel at prediction under observed conditions: given a vector of features, they produce a calibrated forecast of an outcome. They cannot, however, answer 'what-if' questions because they encode associations rather than intervention effects, and they lack mechanisms for manipulating variables in a causally coherent manner while holding confounders at their observed values. Classical causal inference methods—such as g-computation (Robins, 1986), doubly robust estimation, and marginal structural models—are capable of estimating counterfactual quantities, but their implementation demands substantial statistical expertise and is rarely packaged into accessible, low-code interfaces suitable for health system planners and district officers.</w:t>
      </w:r>
    </w:p>
    <w:p w14:paraId="66D48517" w14:textId="77777777" w:rsidR="00F93B83" w:rsidRDefault="00000000">
      <w:pPr>
        <w:spacing w:before="80" w:after="80" w:line="360" w:lineRule="auto"/>
        <w:jc w:val="both"/>
      </w:pPr>
      <w:proofErr w:type="spellStart"/>
      <w:r>
        <w:t>PolicyShift</w:t>
      </w:r>
      <w:proofErr w:type="spellEnd"/>
      <w:r>
        <w:t xml:space="preserve"> addresses this gap by providing an end-to-end, browser-based platform that: (</w:t>
      </w:r>
      <w:proofErr w:type="spellStart"/>
      <w:r>
        <w:t>i</w:t>
      </w:r>
      <w:proofErr w:type="spellEnd"/>
      <w:r>
        <w:t>) ingests survey datasets with complex multi-stage cluster-sampling designs; (ii) trains survey-weighted predictive models using logistic regression, gradient-boosted trees (</w:t>
      </w:r>
      <w:proofErr w:type="spellStart"/>
      <w:r>
        <w:t>XGBoost</w:t>
      </w:r>
      <w:proofErr w:type="spellEnd"/>
      <w:r>
        <w:t xml:space="preserve">), and random forests; (iii) enables users to define hypothetical intervention values for any policy-relevant covariate via interactive sliders; (iv) generates population-weighted counterfactual estimates with bootstrapped 95% confidence intervals; and (v) presents results through intuitive </w:t>
      </w:r>
      <w:proofErr w:type="spellStart"/>
      <w:r>
        <w:t>visualisations</w:t>
      </w:r>
      <w:proofErr w:type="spellEnd"/>
      <w:r>
        <w:t>, including subgroup forest plots and SHAP-based explanations. The platform is openly available at https://salek.shinyapps.io/policyshift/ and requires no prior programming knowledge.</w:t>
      </w:r>
    </w:p>
    <w:p w14:paraId="0202BCE5" w14:textId="77777777" w:rsidR="00F93B83" w:rsidRDefault="00000000">
      <w:pPr>
        <w:spacing w:before="80" w:after="80" w:line="360" w:lineRule="auto"/>
        <w:jc w:val="both"/>
      </w:pPr>
      <w:r>
        <w:t xml:space="preserve">The remainder of this paper proceeds as follows. Section 2 reviews relevant literature on counterfactual frameworks, survey-weighted machine learning, and existing decision-support tools. Section 3 details the methodological foundations of </w:t>
      </w:r>
      <w:proofErr w:type="spellStart"/>
      <w:r>
        <w:t>PolicyShift</w:t>
      </w:r>
      <w:proofErr w:type="spellEnd"/>
      <w:r>
        <w:t>. Section 4 describes the system architecture and user workflow. Section 5 presents an empirical demonstration using Ethiopian DHS data on women's mental health. Section 6 discusses limitations and proposes directions for future development. Section 7 concludes.</w:t>
      </w:r>
    </w:p>
    <w:p w14:paraId="3E154222" w14:textId="77777777" w:rsidR="00F93B83" w:rsidRDefault="00000000">
      <w:pPr>
        <w:pStyle w:val="Heading1"/>
        <w:spacing w:before="300"/>
      </w:pPr>
      <w:r>
        <w:t>2. Literature Review</w:t>
      </w:r>
    </w:p>
    <w:p w14:paraId="5096DAE2" w14:textId="77777777" w:rsidR="00F93B83" w:rsidRDefault="00000000">
      <w:pPr>
        <w:pStyle w:val="Heading2"/>
      </w:pPr>
      <w:r>
        <w:t>2.1 Counterfactual Frameworks in Causal Inference</w:t>
      </w:r>
    </w:p>
    <w:p w14:paraId="4657FA5A" w14:textId="77777777" w:rsidR="00F93B83" w:rsidRDefault="00000000">
      <w:pPr>
        <w:spacing w:before="80" w:after="80" w:line="360" w:lineRule="auto"/>
        <w:jc w:val="both"/>
      </w:pPr>
      <w:r>
        <w:t xml:space="preserve">The counterfactual model of causation, </w:t>
      </w:r>
      <w:proofErr w:type="spellStart"/>
      <w:r>
        <w:t>formalised</w:t>
      </w:r>
      <w:proofErr w:type="spellEnd"/>
      <w:r>
        <w:t xml:space="preserve"> by Rubin (1974) within the potential-outcomes framework and later unified with directed acyclic graphs (DAGs) by Pearl (2009), defines the causal effect </w:t>
      </w:r>
      <w:r>
        <w:lastRenderedPageBreak/>
        <w:t xml:space="preserve">of an intervention as the difference between the outcome that would occur under treatment and the outcome that would occur under control for the same unit. In policy evaluation, retrospective methods—difference-in-differences, instrumental variables, and regression discontinuity designs—are widely employed. However, prospective counterfactual simulation, in which users specify hypothetical interventions and obtain predicted outcome distributions, is substantially less common, despite growing recognition of its value for scenario-based planning (Athey &amp; </w:t>
      </w:r>
      <w:proofErr w:type="spellStart"/>
      <w:r>
        <w:t>Imbens</w:t>
      </w:r>
      <w:proofErr w:type="spellEnd"/>
      <w:r>
        <w:t>, 2019; VanderWeele, 2015).</w:t>
      </w:r>
    </w:p>
    <w:p w14:paraId="382C17E7" w14:textId="77777777" w:rsidR="00F93B83" w:rsidRDefault="00000000">
      <w:pPr>
        <w:pStyle w:val="Heading2"/>
      </w:pPr>
      <w:r>
        <w:t>2.2 Machine Learning for Counterfactual Prediction via G-Computation</w:t>
      </w:r>
    </w:p>
    <w:p w14:paraId="0E9DBE28" w14:textId="77777777" w:rsidR="00F93B83" w:rsidRDefault="00000000">
      <w:pPr>
        <w:spacing w:before="80" w:after="80" w:line="360" w:lineRule="auto"/>
        <w:jc w:val="both"/>
      </w:pPr>
      <w:r>
        <w:t xml:space="preserve">G-computation (Robins, 1986), also termed </w:t>
      </w:r>
      <w:proofErr w:type="spellStart"/>
      <w:r>
        <w:t>standardisation</w:t>
      </w:r>
      <w:proofErr w:type="spellEnd"/>
      <w:r>
        <w:t xml:space="preserve"> or model-based causal inference, trains an outcome model on observed data and uses it to predict outcomes under user-specified, counterfactually modified covariate values. The approach is agnostic to the functional form of the outcome model, which makes it natural to combine with flexible machine learning estimators. Schneeweiss et al. (2017) demonstrated that gradient-boosted models incorporating high-dimensional propensity adjustment outperform conventional logistic regression in confounder control under realistic epidemiological conditions. Despite this promise, no existing low-code platform integrates survey sampling weights with tree-based g-computation in an interactive simulation interface.</w:t>
      </w:r>
    </w:p>
    <w:p w14:paraId="5494B1B6" w14:textId="77777777" w:rsidR="00F93B83" w:rsidRDefault="00000000">
      <w:pPr>
        <w:pStyle w:val="Heading2"/>
      </w:pPr>
      <w:r>
        <w:t>2.3 Survey-Weighted Machine Learning</w:t>
      </w:r>
    </w:p>
    <w:p w14:paraId="67728142" w14:textId="77777777" w:rsidR="00F93B83" w:rsidRDefault="00000000">
      <w:pPr>
        <w:spacing w:before="80" w:after="80" w:line="360" w:lineRule="auto"/>
        <w:jc w:val="both"/>
      </w:pPr>
      <w:r>
        <w:t xml:space="preserve">Large-scale health surveys employ multi-stage cluster sampling with unequal selection probabilities, yielding individual-level design weights that are essential for producing unbiased population estimates (Lumley, 2010). The survey R package (Lumley, 2020) provides design-aware regression models, but does not natively support gradient-boosted or random-forest estimators. Recent methodological contributions have extended weighted loss functions to </w:t>
      </w:r>
      <w:proofErr w:type="spellStart"/>
      <w:r>
        <w:t>XGBoost</w:t>
      </w:r>
      <w:proofErr w:type="spellEnd"/>
      <w:r>
        <w:t xml:space="preserve"> (Chen et al., 2021) and demonstrated the consistency of weighted ensemble methods under complex survey designs, though accessible implementations for applied researchers remain scarce.</w:t>
      </w:r>
    </w:p>
    <w:p w14:paraId="2ED5C1A1" w14:textId="77777777" w:rsidR="00F93B83" w:rsidRDefault="00000000">
      <w:pPr>
        <w:pStyle w:val="Heading2"/>
      </w:pPr>
      <w:r>
        <w:t xml:space="preserve">2.4 Existing Decision-Support Tools and the Gap </w:t>
      </w:r>
      <w:proofErr w:type="spellStart"/>
      <w:r>
        <w:t>PolicyShift</w:t>
      </w:r>
      <w:proofErr w:type="spellEnd"/>
      <w:r>
        <w:t xml:space="preserve"> Fills</w:t>
      </w:r>
    </w:p>
    <w:p w14:paraId="5972129B" w14:textId="77777777" w:rsidR="00F93B83" w:rsidRDefault="00000000">
      <w:pPr>
        <w:spacing w:before="80" w:after="80" w:line="360" w:lineRule="auto"/>
        <w:jc w:val="both"/>
      </w:pPr>
      <w:r>
        <w:t xml:space="preserve">Commercial platforms such as Tableau and Microsoft Power BI, and numerous open-source Shiny applications, incorporate predictive models but are structurally limited to forecasting under current distributional assumptions. The </w:t>
      </w:r>
      <w:proofErr w:type="spellStart"/>
      <w:r>
        <w:t>causalToolbox</w:t>
      </w:r>
      <w:proofErr w:type="spellEnd"/>
      <w:r>
        <w:t xml:space="preserve"> and </w:t>
      </w:r>
      <w:proofErr w:type="spellStart"/>
      <w:r>
        <w:t>CausalRL</w:t>
      </w:r>
      <w:proofErr w:type="spellEnd"/>
      <w:r>
        <w:t xml:space="preserve"> R packages provide targeted learning and causal forests, but operate exclusively at the command-line level and are directed at methodologically sophisticated audiences. </w:t>
      </w:r>
      <w:proofErr w:type="spellStart"/>
      <w:r>
        <w:t>PolicyShift</w:t>
      </w:r>
      <w:proofErr w:type="spellEnd"/>
      <w:r>
        <w:t xml:space="preserve"> uniquely combines, within a single browser-based interface: (a) design-aware survey-weighted model training; (b) interactive policy variable manipulation via sliders; (c) SHAP feature attribution for counterfactual explanations; and (d) subgroup stratification with forest-plot outputs. No existing tool unifies all four of these capabilities in an accessible, no-code format.</w:t>
      </w:r>
    </w:p>
    <w:p w14:paraId="0840AB57" w14:textId="77777777" w:rsidR="00F93B83" w:rsidRDefault="00000000">
      <w:pPr>
        <w:pStyle w:val="Heading1"/>
        <w:spacing w:before="300"/>
      </w:pPr>
      <w:r>
        <w:lastRenderedPageBreak/>
        <w:t>3. Methodology</w:t>
      </w:r>
    </w:p>
    <w:p w14:paraId="33F9D2B7" w14:textId="77777777" w:rsidR="00F93B83" w:rsidRDefault="00000000">
      <w:pPr>
        <w:pStyle w:val="Heading2"/>
      </w:pPr>
      <w:r>
        <w:t>3.1 Problem Formulation</w:t>
      </w:r>
    </w:p>
    <w:p w14:paraId="12159378" w14:textId="77777777" w:rsidR="00F93B83" w:rsidRDefault="00000000">
      <w:pPr>
        <w:spacing w:before="80" w:after="80" w:line="360" w:lineRule="auto"/>
        <w:jc w:val="both"/>
      </w:pPr>
      <w:r>
        <w:t>Let Y denote a binary or continuous population health outcome, X a vector of covariates, T a policy-manipulable variable (or set of variables), and Z all remaining covariates held fixed. We observe a sample D = {(</w:t>
      </w:r>
      <w:proofErr w:type="spellStart"/>
      <w:r>
        <w:t>y_i</w:t>
      </w:r>
      <w:proofErr w:type="spellEnd"/>
      <w:r>
        <w:t xml:space="preserve">, </w:t>
      </w:r>
      <w:proofErr w:type="spellStart"/>
      <w:r>
        <w:t>x_i</w:t>
      </w:r>
      <w:proofErr w:type="spellEnd"/>
      <w:r>
        <w:t xml:space="preserve">, </w:t>
      </w:r>
      <w:proofErr w:type="spellStart"/>
      <w:r>
        <w:t>t_i</w:t>
      </w:r>
      <w:proofErr w:type="spellEnd"/>
      <w:r>
        <w:t xml:space="preserve">, </w:t>
      </w:r>
      <w:proofErr w:type="spellStart"/>
      <w:r>
        <w:t>w_i</w:t>
      </w:r>
      <w:proofErr w:type="spellEnd"/>
      <w:r>
        <w:t xml:space="preserve">)} where </w:t>
      </w:r>
      <w:proofErr w:type="spellStart"/>
      <w:r>
        <w:t>w_i</w:t>
      </w:r>
      <w:proofErr w:type="spellEnd"/>
      <w:r>
        <w:t xml:space="preserve"> is the survey design weight for individual </w:t>
      </w:r>
      <w:proofErr w:type="spellStart"/>
      <w:r>
        <w:t>i</w:t>
      </w:r>
      <w:proofErr w:type="spellEnd"/>
      <w:r>
        <w:t xml:space="preserve">. For a hypothetical policy intervention that shifts T from its observed value </w:t>
      </w:r>
      <w:proofErr w:type="spellStart"/>
      <w:r>
        <w:t>t_i</w:t>
      </w:r>
      <w:proofErr w:type="spellEnd"/>
      <w:r>
        <w:t xml:space="preserve"> to a counterfactual value t', the target </w:t>
      </w:r>
      <w:proofErr w:type="spellStart"/>
      <w:r>
        <w:t>estimand</w:t>
      </w:r>
      <w:proofErr w:type="spellEnd"/>
      <w:r>
        <w:t xml:space="preserve"> is the survey-weighted population mean outcome under intervention:</w:t>
      </w:r>
    </w:p>
    <w:p w14:paraId="60C72607" w14:textId="77777777" w:rsidR="00F93B83" w:rsidRDefault="00000000">
      <w:pPr>
        <w:spacing w:before="120" w:after="120"/>
        <w:jc w:val="center"/>
      </w:pPr>
      <w:r>
        <w:rPr>
          <w:i/>
          <w:iCs/>
        </w:rPr>
        <w:t xml:space="preserve">Ŷ(t′) = [∑ </w:t>
      </w:r>
      <w:proofErr w:type="spellStart"/>
      <w:r>
        <w:rPr>
          <w:i/>
          <w:iCs/>
        </w:rPr>
        <w:t>w_i</w:t>
      </w:r>
      <w:proofErr w:type="spellEnd"/>
      <w:r>
        <w:rPr>
          <w:i/>
          <w:iCs/>
        </w:rPr>
        <w:t xml:space="preserve">]⁻¹ · ∑ </w:t>
      </w:r>
      <w:proofErr w:type="spellStart"/>
      <w:r>
        <w:rPr>
          <w:i/>
          <w:iCs/>
        </w:rPr>
        <w:t>w_i</w:t>
      </w:r>
      <w:proofErr w:type="spellEnd"/>
      <w:r>
        <w:rPr>
          <w:i/>
          <w:iCs/>
        </w:rPr>
        <w:t xml:space="preserve"> · f̂(t′, </w:t>
      </w:r>
      <w:proofErr w:type="spellStart"/>
      <w:r>
        <w:rPr>
          <w:i/>
          <w:iCs/>
        </w:rPr>
        <w:t>z_i</w:t>
      </w:r>
      <w:proofErr w:type="spellEnd"/>
      <w:r>
        <w:rPr>
          <w:i/>
          <w:iCs/>
        </w:rPr>
        <w:t>)</w:t>
      </w:r>
    </w:p>
    <w:p w14:paraId="530AC6AA" w14:textId="77777777" w:rsidR="00F93B83" w:rsidRDefault="00000000">
      <w:pPr>
        <w:spacing w:before="80" w:after="80" w:line="360" w:lineRule="auto"/>
        <w:jc w:val="both"/>
      </w:pPr>
      <w:r>
        <w:t>where f-hat is a predictive model trained on observed data. This is the g-computation estimator of the population mean counterfactual outcome under the intervention t'. When Y is binary, this reduces to a counterfactual prevalence estimate. Policy effect is then the difference between this counterfactual estimate and the weighted prevalence under observed values of T.</w:t>
      </w:r>
    </w:p>
    <w:p w14:paraId="5F7445B7" w14:textId="77777777" w:rsidR="00F93B83" w:rsidRDefault="00000000">
      <w:pPr>
        <w:pStyle w:val="Heading2"/>
      </w:pPr>
      <w:r>
        <w:t>3.2 Survey-Weighted Model Training</w:t>
      </w:r>
    </w:p>
    <w:p w14:paraId="0AA37525" w14:textId="77777777" w:rsidR="00F93B83" w:rsidRDefault="00000000">
      <w:pPr>
        <w:spacing w:before="80" w:after="80" w:line="360" w:lineRule="auto"/>
        <w:jc w:val="both"/>
      </w:pPr>
      <w:proofErr w:type="spellStart"/>
      <w:r>
        <w:t>PolicyShift</w:t>
      </w:r>
      <w:proofErr w:type="spellEnd"/>
      <w:r>
        <w:t xml:space="preserve"> implements three model classes, each with native or adapted support for survey design weights:</w:t>
      </w:r>
    </w:p>
    <w:p w14:paraId="3BD1C2FD" w14:textId="77777777" w:rsidR="00F93B83" w:rsidRDefault="00000000">
      <w:pPr>
        <w:spacing w:before="80" w:after="80" w:line="360" w:lineRule="auto"/>
        <w:jc w:val="both"/>
      </w:pPr>
      <w:r>
        <w:rPr>
          <w:b/>
          <w:bCs/>
        </w:rPr>
        <w:t xml:space="preserve">Logistic Regression (weighted MLE). </w:t>
      </w:r>
      <w:r>
        <w:t xml:space="preserve">The model </w:t>
      </w:r>
      <w:proofErr w:type="spellStart"/>
      <w:r>
        <w:t>maximises</w:t>
      </w:r>
      <w:proofErr w:type="spellEnd"/>
      <w:r>
        <w:t xml:space="preserve"> the survey-weighted log-likelihood: L(β) = ∑ </w:t>
      </w:r>
      <w:proofErr w:type="spellStart"/>
      <w:r>
        <w:t>w_i</w:t>
      </w:r>
      <w:proofErr w:type="spellEnd"/>
      <w:r>
        <w:t xml:space="preserve"> [</w:t>
      </w:r>
      <w:proofErr w:type="spellStart"/>
      <w:r>
        <w:t>y_i</w:t>
      </w:r>
      <w:proofErr w:type="spellEnd"/>
      <w:r>
        <w:t xml:space="preserve"> log(</w:t>
      </w:r>
      <w:proofErr w:type="spellStart"/>
      <w:r>
        <w:t>p_i</w:t>
      </w:r>
      <w:proofErr w:type="spellEnd"/>
      <w:r>
        <w:t xml:space="preserve">) + (1−y_i) log(1−p_i)], where </w:t>
      </w:r>
      <w:proofErr w:type="spellStart"/>
      <w:r>
        <w:t>p_i</w:t>
      </w:r>
      <w:proofErr w:type="spellEnd"/>
      <w:r>
        <w:t xml:space="preserve"> = σ(βᵀ </w:t>
      </w:r>
      <w:proofErr w:type="spellStart"/>
      <w:r>
        <w:t>x_i</w:t>
      </w:r>
      <w:proofErr w:type="spellEnd"/>
      <w:r>
        <w:t xml:space="preserve">), implemented via the </w:t>
      </w:r>
      <w:proofErr w:type="spellStart"/>
      <w:r>
        <w:t>svyglm</w:t>
      </w:r>
      <w:proofErr w:type="spellEnd"/>
      <w:r>
        <w:t xml:space="preserve"> function within the survey package.</w:t>
      </w:r>
    </w:p>
    <w:p w14:paraId="793246BD" w14:textId="77777777" w:rsidR="00F93B83" w:rsidRDefault="00000000">
      <w:pPr>
        <w:spacing w:before="80" w:after="80" w:line="360" w:lineRule="auto"/>
        <w:jc w:val="both"/>
      </w:pPr>
      <w:r>
        <w:rPr>
          <w:b/>
          <w:bCs/>
        </w:rPr>
        <w:t xml:space="preserve">Random Forest with Weighted Bootstrap Sampling. </w:t>
      </w:r>
      <w:r>
        <w:t xml:space="preserve">Each tree is grown using bootstrap samples in which sampling probabilities are proportional to survey weights, implemented via the ranger package with </w:t>
      </w:r>
      <w:proofErr w:type="spellStart"/>
      <w:r>
        <w:t>case.weights</w:t>
      </w:r>
      <w:proofErr w:type="spellEnd"/>
      <w:r>
        <w:t xml:space="preserve"> argument.</w:t>
      </w:r>
    </w:p>
    <w:p w14:paraId="18D0B0E8" w14:textId="77777777" w:rsidR="00F93B83" w:rsidRDefault="00000000">
      <w:pPr>
        <w:spacing w:before="80" w:after="80" w:line="360" w:lineRule="auto"/>
        <w:jc w:val="both"/>
      </w:pPr>
      <w:proofErr w:type="spellStart"/>
      <w:r>
        <w:rPr>
          <w:b/>
          <w:bCs/>
        </w:rPr>
        <w:t>XGBoost</w:t>
      </w:r>
      <w:proofErr w:type="spellEnd"/>
      <w:r>
        <w:rPr>
          <w:b/>
          <w:bCs/>
        </w:rPr>
        <w:t xml:space="preserve"> with Weighted Gradient Objective. </w:t>
      </w:r>
      <w:r>
        <w:t xml:space="preserve">The boosting objective incorporates design weights through the </w:t>
      </w:r>
      <w:proofErr w:type="spellStart"/>
      <w:r>
        <w:t>sample_weight</w:t>
      </w:r>
      <w:proofErr w:type="spellEnd"/>
      <w:r>
        <w:t xml:space="preserve"> parameter in </w:t>
      </w:r>
      <w:proofErr w:type="spellStart"/>
      <w:r>
        <w:t>xgb.DMatrix</w:t>
      </w:r>
      <w:proofErr w:type="spellEnd"/>
      <w:r>
        <w:t>, using logistic loss for binary outcomes and squared error for continuous outcomes.</w:t>
      </w:r>
    </w:p>
    <w:p w14:paraId="191F6BA8" w14:textId="77777777" w:rsidR="00F93B83" w:rsidRDefault="00000000">
      <w:pPr>
        <w:spacing w:before="80" w:after="80" w:line="360" w:lineRule="auto"/>
        <w:jc w:val="both"/>
      </w:pPr>
      <w:r>
        <w:t xml:space="preserve">Hyperparameter selection for </w:t>
      </w:r>
      <w:proofErr w:type="spellStart"/>
      <w:r>
        <w:t>XGBoost</w:t>
      </w:r>
      <w:proofErr w:type="spellEnd"/>
      <w:r>
        <w:t xml:space="preserve"> and Random Forest uses five-fold cross-validation with weighted performance metrics. Model calibration is assessed using design-weighted Brier scores and reliability diagrams.</w:t>
      </w:r>
    </w:p>
    <w:p w14:paraId="6571C86C" w14:textId="77777777" w:rsidR="00F93B83" w:rsidRDefault="00000000">
      <w:pPr>
        <w:pStyle w:val="Heading2"/>
      </w:pPr>
      <w:r>
        <w:t>3.3 Counterfactual Prediction Engine</w:t>
      </w:r>
    </w:p>
    <w:p w14:paraId="5922C082" w14:textId="77777777" w:rsidR="00F93B83" w:rsidRDefault="00000000">
      <w:pPr>
        <w:spacing w:before="80" w:after="80" w:line="360" w:lineRule="auto"/>
        <w:jc w:val="both"/>
      </w:pPr>
      <w:r>
        <w:t xml:space="preserve">After model training, the user selects one or more policy variables. </w:t>
      </w:r>
      <w:proofErr w:type="spellStart"/>
      <w:r>
        <w:t>PolicyShift</w:t>
      </w:r>
      <w:proofErr w:type="spellEnd"/>
      <w:r>
        <w:t xml:space="preserve"> generates a slider for each, with a value range derived from the 5th to 95th percentile of the observed distribution to guard against extrapolation. When the user clicks 'Simulate', the system executes the following sequence:</w:t>
      </w:r>
    </w:p>
    <w:p w14:paraId="25401CEF" w14:textId="77777777" w:rsidR="00F93B83" w:rsidRDefault="00000000">
      <w:pPr>
        <w:pStyle w:val="ListParagraph"/>
        <w:numPr>
          <w:ilvl w:val="0"/>
          <w:numId w:val="2"/>
        </w:numPr>
        <w:spacing w:before="40" w:after="40" w:line="320" w:lineRule="auto"/>
      </w:pPr>
      <w:r>
        <w:lastRenderedPageBreak/>
        <w:t>Constructs a modified dataset in which the policy variable(s) are set to the counterfactual value for every individual in the sample (or within the user-specified subgroup), while all other covariates retain their observed values.</w:t>
      </w:r>
    </w:p>
    <w:p w14:paraId="27A2D145" w14:textId="77777777" w:rsidR="00F93B83" w:rsidRDefault="00000000">
      <w:pPr>
        <w:pStyle w:val="ListParagraph"/>
        <w:numPr>
          <w:ilvl w:val="0"/>
          <w:numId w:val="2"/>
        </w:numPr>
        <w:spacing w:before="40" w:after="40" w:line="320" w:lineRule="auto"/>
      </w:pPr>
      <w:r>
        <w:t>Applies the trained outcome model to generate individual-level counterfactual predictions across the modified dataset.</w:t>
      </w:r>
    </w:p>
    <w:p w14:paraId="2C4312BE" w14:textId="77777777" w:rsidR="00F93B83" w:rsidRDefault="00000000">
      <w:pPr>
        <w:pStyle w:val="ListParagraph"/>
        <w:numPr>
          <w:ilvl w:val="0"/>
          <w:numId w:val="2"/>
        </w:numPr>
        <w:spacing w:before="40" w:after="40" w:line="320" w:lineRule="auto"/>
      </w:pPr>
      <w:r>
        <w:t>Computes the survey-weighted mean of these predictions to obtain a population-level counterfactual prevalence or mean outcome.</w:t>
      </w:r>
    </w:p>
    <w:p w14:paraId="2432D23A" w14:textId="77777777" w:rsidR="00F93B83" w:rsidRDefault="00000000">
      <w:pPr>
        <w:pStyle w:val="ListParagraph"/>
        <w:numPr>
          <w:ilvl w:val="0"/>
          <w:numId w:val="2"/>
        </w:numPr>
        <w:spacing w:before="40" w:after="40" w:line="320" w:lineRule="auto"/>
      </w:pPr>
      <w:r>
        <w:t>Bootstraps the entire procedure (n = 200 repetitions) to construct 95% confidence intervals, accounting for uncertainty in both the model parameters and the survey design.</w:t>
      </w:r>
    </w:p>
    <w:p w14:paraId="4CB7AE52" w14:textId="77777777" w:rsidR="00F93B83" w:rsidRDefault="00000000">
      <w:pPr>
        <w:spacing w:before="80" w:after="80" w:line="360" w:lineRule="auto"/>
        <w:jc w:val="both"/>
      </w:pPr>
      <w:r>
        <w:t>The bootstrap resampling procedure respects the survey cluster structure, resampling primary sampling units within strata to preserve design-based variance properties.</w:t>
      </w:r>
    </w:p>
    <w:p w14:paraId="3DA762EB" w14:textId="77777777" w:rsidR="00F93B83" w:rsidRDefault="00000000">
      <w:pPr>
        <w:pStyle w:val="Heading2"/>
      </w:pPr>
      <w:r>
        <w:t>3.4 SHAP-Based Explainability</w:t>
      </w:r>
    </w:p>
    <w:p w14:paraId="598AB71F" w14:textId="77777777" w:rsidR="00F93B83" w:rsidRDefault="00000000">
      <w:pPr>
        <w:spacing w:before="80" w:after="80" w:line="360" w:lineRule="auto"/>
        <w:jc w:val="both"/>
      </w:pPr>
      <w:r>
        <w:t xml:space="preserve">For each simulated counterfactual scenario, </w:t>
      </w:r>
      <w:proofErr w:type="spellStart"/>
      <w:r>
        <w:t>PolicyShift</w:t>
      </w:r>
      <w:proofErr w:type="spellEnd"/>
      <w:r>
        <w:t xml:space="preserve"> computes </w:t>
      </w:r>
      <w:proofErr w:type="spellStart"/>
      <w:r>
        <w:t>SHapley</w:t>
      </w:r>
      <w:proofErr w:type="spellEnd"/>
      <w:r>
        <w:t xml:space="preserve"> Additive </w:t>
      </w:r>
      <w:proofErr w:type="spellStart"/>
      <w:r>
        <w:t>exPlanations</w:t>
      </w:r>
      <w:proofErr w:type="spellEnd"/>
      <w:r>
        <w:t xml:space="preserve"> (SHAP; Lundberg &amp; Lee, 2017) values to decompose the predicted change in population outcome. SHAP values additively attribute the total prediction to each input feature, enabling users to identify which covariates are the principal drivers of the estimated policy impact. For the </w:t>
      </w:r>
      <w:proofErr w:type="spellStart"/>
      <w:r>
        <w:t>XGBoost</w:t>
      </w:r>
      <w:proofErr w:type="spellEnd"/>
      <w:r>
        <w:t xml:space="preserve"> model, exact </w:t>
      </w:r>
      <w:proofErr w:type="spellStart"/>
      <w:r>
        <w:t>TreeSHAP</w:t>
      </w:r>
      <w:proofErr w:type="spellEnd"/>
      <w:r>
        <w:t xml:space="preserve"> is used; for logistic regression and random forests, </w:t>
      </w:r>
      <w:proofErr w:type="spellStart"/>
      <w:r>
        <w:t>KernelSHAP</w:t>
      </w:r>
      <w:proofErr w:type="spellEnd"/>
      <w:r>
        <w:t xml:space="preserve"> approximations are employed via the DALEX and </w:t>
      </w:r>
      <w:proofErr w:type="spellStart"/>
      <w:r>
        <w:t>shapviz</w:t>
      </w:r>
      <w:proofErr w:type="spellEnd"/>
      <w:r>
        <w:t xml:space="preserve"> packages. Outputs include a force plot for individual predictions and a </w:t>
      </w:r>
      <w:proofErr w:type="spellStart"/>
      <w:r>
        <w:t>beeswarm</w:t>
      </w:r>
      <w:proofErr w:type="spellEnd"/>
      <w:r>
        <w:t xml:space="preserve"> summary plot for population-level attribution.</w:t>
      </w:r>
    </w:p>
    <w:p w14:paraId="39A013BA" w14:textId="77777777" w:rsidR="00F93B83" w:rsidRDefault="00000000">
      <w:pPr>
        <w:pStyle w:val="Heading2"/>
      </w:pPr>
      <w:r>
        <w:t>3.5 Subgroup Effect Estimation</w:t>
      </w:r>
    </w:p>
    <w:p w14:paraId="4D219CE3" w14:textId="77777777" w:rsidR="00F93B83" w:rsidRDefault="00000000">
      <w:pPr>
        <w:spacing w:before="80" w:after="80" w:line="360" w:lineRule="auto"/>
        <w:jc w:val="both"/>
      </w:pPr>
      <w:r>
        <w:t xml:space="preserve">Policy impacts are rarely homogeneous across population strata. </w:t>
      </w:r>
      <w:proofErr w:type="spellStart"/>
      <w:r>
        <w:t>PolicyShift</w:t>
      </w:r>
      <w:proofErr w:type="spellEnd"/>
      <w:r>
        <w:t xml:space="preserve"> allows users to stratify counterfactual estimates by any categorical variable in the dataset. The system repeats the full g-computation and bootstrap procedure within each stratum, displaying results as a forest plot of subgroup-specific effect sizes with confidence intervals and a formal test for treatment-covariate interaction using a weighted likelihood ratio test.</w:t>
      </w:r>
    </w:p>
    <w:p w14:paraId="1D8C93E6" w14:textId="77777777" w:rsidR="00F93B83" w:rsidRDefault="00000000">
      <w:pPr>
        <w:pStyle w:val="Heading1"/>
        <w:spacing w:before="300"/>
      </w:pPr>
      <w:r>
        <w:t>4. System Architecture</w:t>
      </w:r>
    </w:p>
    <w:p w14:paraId="35129374" w14:textId="77777777" w:rsidR="00F93B83" w:rsidRDefault="00000000">
      <w:pPr>
        <w:spacing w:before="80" w:after="80" w:line="360" w:lineRule="auto"/>
        <w:jc w:val="both"/>
      </w:pPr>
      <w:proofErr w:type="spellStart"/>
      <w:r>
        <w:t>PolicyShift</w:t>
      </w:r>
      <w:proofErr w:type="spellEnd"/>
      <w:r>
        <w:t xml:space="preserve"> is implemented in R (v4.3+) with a modular reactive architecture built on the Shiny framework. The core technology stack is </w:t>
      </w:r>
      <w:proofErr w:type="spellStart"/>
      <w:r>
        <w:t>summarised</w:t>
      </w:r>
      <w:proofErr w:type="spellEnd"/>
      <w:r>
        <w:t xml:space="preserve"> in Table 1.</w:t>
      </w:r>
    </w:p>
    <w:p w14:paraId="24AFAC1F" w14:textId="77777777" w:rsidR="00F93B83" w:rsidRDefault="00F93B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F93B83" w14:paraId="4BD214A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A3C6E"/>
            <w:tcMar>
              <w:top w:w="80" w:type="dxa"/>
              <w:left w:w="120" w:type="dxa"/>
              <w:bottom w:w="80" w:type="dxa"/>
              <w:right w:w="120" w:type="dxa"/>
            </w:tcMar>
          </w:tcPr>
          <w:p w14:paraId="026AF915" w14:textId="77777777" w:rsidR="00F93B83" w:rsidRDefault="00000000">
            <w:r>
              <w:rPr>
                <w:rFonts w:ascii="Arial" w:eastAsia="Arial" w:hAnsi="Arial" w:cs="Arial"/>
                <w:b/>
                <w:bCs/>
                <w:color w:val="FFFFFF"/>
                <w:sz w:val="20"/>
                <w:szCs w:val="20"/>
              </w:rPr>
              <w:t>Component</w:t>
            </w:r>
          </w:p>
        </w:tc>
        <w:tc>
          <w:tcPr>
            <w:tcW w:w="2800" w:type="dxa"/>
            <w:tcBorders>
              <w:top w:val="single" w:sz="4" w:space="0" w:color="AAAAAA"/>
              <w:left w:val="single" w:sz="4" w:space="0" w:color="AAAAAA"/>
              <w:bottom w:val="single" w:sz="4" w:space="0" w:color="AAAAAA"/>
              <w:right w:val="single" w:sz="4" w:space="0" w:color="AAAAAA"/>
            </w:tcBorders>
            <w:shd w:val="clear" w:color="auto" w:fill="1A3C6E"/>
            <w:tcMar>
              <w:top w:w="80" w:type="dxa"/>
              <w:left w:w="120" w:type="dxa"/>
              <w:bottom w:w="80" w:type="dxa"/>
              <w:right w:w="120" w:type="dxa"/>
            </w:tcMar>
          </w:tcPr>
          <w:p w14:paraId="5CE2499C" w14:textId="77777777" w:rsidR="00F93B83" w:rsidRDefault="00000000">
            <w:r>
              <w:rPr>
                <w:rFonts w:ascii="Arial" w:eastAsia="Arial" w:hAnsi="Arial" w:cs="Arial"/>
                <w:b/>
                <w:bCs/>
                <w:color w:val="FFFFFF"/>
                <w:sz w:val="20"/>
                <w:szCs w:val="20"/>
              </w:rPr>
              <w:t>Package(s)</w:t>
            </w:r>
          </w:p>
        </w:tc>
        <w:tc>
          <w:tcPr>
            <w:tcW w:w="4360" w:type="dxa"/>
            <w:tcBorders>
              <w:top w:val="single" w:sz="4" w:space="0" w:color="AAAAAA"/>
              <w:left w:val="single" w:sz="4" w:space="0" w:color="AAAAAA"/>
              <w:bottom w:val="single" w:sz="4" w:space="0" w:color="AAAAAA"/>
              <w:right w:val="single" w:sz="4" w:space="0" w:color="AAAAAA"/>
            </w:tcBorders>
            <w:shd w:val="clear" w:color="auto" w:fill="1A3C6E"/>
            <w:tcMar>
              <w:top w:w="80" w:type="dxa"/>
              <w:left w:w="120" w:type="dxa"/>
              <w:bottom w:w="80" w:type="dxa"/>
              <w:right w:w="120" w:type="dxa"/>
            </w:tcMar>
          </w:tcPr>
          <w:p w14:paraId="702EBB3D" w14:textId="77777777" w:rsidR="00F93B83" w:rsidRDefault="00000000">
            <w:r>
              <w:rPr>
                <w:rFonts w:ascii="Arial" w:eastAsia="Arial" w:hAnsi="Arial" w:cs="Arial"/>
                <w:b/>
                <w:bCs/>
                <w:color w:val="FFFFFF"/>
                <w:sz w:val="20"/>
                <w:szCs w:val="20"/>
              </w:rPr>
              <w:t>Function</w:t>
            </w:r>
          </w:p>
        </w:tc>
      </w:tr>
      <w:tr w:rsidR="00F93B83" w14:paraId="4F6ED5E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556E8642" w14:textId="77777777" w:rsidR="00F93B83" w:rsidRDefault="00000000">
            <w:r>
              <w:rPr>
                <w:sz w:val="20"/>
                <w:szCs w:val="20"/>
              </w:rPr>
              <w:t>User Interface</w:t>
            </w:r>
          </w:p>
        </w:tc>
        <w:tc>
          <w:tcPr>
            <w:tcW w:w="28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0C21720A" w14:textId="77777777" w:rsidR="00F93B83" w:rsidRDefault="00000000">
            <w:r>
              <w:rPr>
                <w:sz w:val="20"/>
                <w:szCs w:val="20"/>
              </w:rPr>
              <w:t xml:space="preserve">shiny, </w:t>
            </w:r>
            <w:proofErr w:type="spellStart"/>
            <w:r>
              <w:rPr>
                <w:sz w:val="20"/>
                <w:szCs w:val="20"/>
              </w:rPr>
              <w:t>shinydashboard</w:t>
            </w:r>
            <w:proofErr w:type="spellEnd"/>
            <w:r>
              <w:rPr>
                <w:sz w:val="20"/>
                <w:szCs w:val="20"/>
              </w:rPr>
              <w:t xml:space="preserve">, </w:t>
            </w:r>
            <w:proofErr w:type="spellStart"/>
            <w:r>
              <w:rPr>
                <w:sz w:val="20"/>
                <w:szCs w:val="20"/>
              </w:rPr>
              <w:t>shinythemes</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7A2097DC" w14:textId="77777777" w:rsidR="00F93B83" w:rsidRDefault="00000000">
            <w:r>
              <w:rPr>
                <w:sz w:val="20"/>
                <w:szCs w:val="20"/>
              </w:rPr>
              <w:t>Interactive dashboard rendering</w:t>
            </w:r>
          </w:p>
        </w:tc>
      </w:tr>
      <w:tr w:rsidR="00F93B83" w14:paraId="79FFAC7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09F82" w14:textId="77777777" w:rsidR="00F93B83" w:rsidRDefault="00000000">
            <w:r>
              <w:rPr>
                <w:sz w:val="20"/>
                <w:szCs w:val="20"/>
              </w:rPr>
              <w:t>Data Ingestion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43EF5" w14:textId="77777777" w:rsidR="00F93B83" w:rsidRDefault="00000000">
            <w:r>
              <w:rPr>
                <w:sz w:val="20"/>
                <w:szCs w:val="20"/>
              </w:rPr>
              <w:t xml:space="preserve">haven, </w:t>
            </w:r>
            <w:proofErr w:type="spellStart"/>
            <w:r>
              <w:rPr>
                <w:sz w:val="20"/>
                <w:szCs w:val="20"/>
              </w:rPr>
              <w:t>data.table</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FF2B9" w14:textId="77777777" w:rsidR="00F93B83" w:rsidRDefault="00000000">
            <w:r>
              <w:rPr>
                <w:sz w:val="20"/>
                <w:szCs w:val="20"/>
              </w:rPr>
              <w:t>CSV / DTA / RDS file upload; fast I/O</w:t>
            </w:r>
          </w:p>
        </w:tc>
      </w:tr>
      <w:tr w:rsidR="00F93B83" w14:paraId="1EB42C1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6088952B" w14:textId="77777777" w:rsidR="00F93B83" w:rsidRDefault="00000000">
            <w:r>
              <w:rPr>
                <w:sz w:val="20"/>
                <w:szCs w:val="20"/>
              </w:rPr>
              <w:lastRenderedPageBreak/>
              <w:t>Survey Weighting</w:t>
            </w:r>
          </w:p>
        </w:tc>
        <w:tc>
          <w:tcPr>
            <w:tcW w:w="28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72CF6C28" w14:textId="77777777" w:rsidR="00F93B83" w:rsidRDefault="00000000">
            <w:r>
              <w:rPr>
                <w:sz w:val="20"/>
                <w:szCs w:val="20"/>
              </w:rPr>
              <w:t>survey</w:t>
            </w:r>
          </w:p>
        </w:tc>
        <w:tc>
          <w:tcPr>
            <w:tcW w:w="436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1A753D0F" w14:textId="77777777" w:rsidR="00F93B83" w:rsidRDefault="00000000">
            <w:r>
              <w:rPr>
                <w:sz w:val="20"/>
                <w:szCs w:val="20"/>
              </w:rPr>
              <w:t>Design objects; weighted statistics</w:t>
            </w:r>
          </w:p>
        </w:tc>
      </w:tr>
      <w:tr w:rsidR="00F93B83" w14:paraId="6C71396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0D08D7" w14:textId="77777777" w:rsidR="00F93B83" w:rsidRDefault="00000000">
            <w:r>
              <w:rPr>
                <w:sz w:val="20"/>
                <w:szCs w:val="20"/>
              </w:rPr>
              <w:t>ML Models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8CB56" w14:textId="77777777" w:rsidR="00F93B83" w:rsidRDefault="00000000">
            <w:r>
              <w:rPr>
                <w:sz w:val="20"/>
                <w:szCs w:val="20"/>
              </w:rPr>
              <w:t xml:space="preserve">survey, ranger, </w:t>
            </w:r>
            <w:proofErr w:type="spellStart"/>
            <w:r>
              <w:rPr>
                <w:sz w:val="20"/>
                <w:szCs w:val="20"/>
              </w:rPr>
              <w:t>xgboost</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3D9B08" w14:textId="77777777" w:rsidR="00F93B83" w:rsidRDefault="00000000">
            <w:r>
              <w:rPr>
                <w:sz w:val="20"/>
                <w:szCs w:val="20"/>
              </w:rPr>
              <w:t xml:space="preserve">Weighted logistic, RF, and </w:t>
            </w:r>
            <w:proofErr w:type="spellStart"/>
            <w:r>
              <w:rPr>
                <w:sz w:val="20"/>
                <w:szCs w:val="20"/>
              </w:rPr>
              <w:t>XGBoost</w:t>
            </w:r>
            <w:proofErr w:type="spellEnd"/>
          </w:p>
        </w:tc>
      </w:tr>
      <w:tr w:rsidR="00F93B83" w14:paraId="2868BFA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4EB4FB4A" w14:textId="77777777" w:rsidR="00F93B83" w:rsidRDefault="00000000">
            <w:r>
              <w:rPr>
                <w:sz w:val="20"/>
                <w:szCs w:val="20"/>
              </w:rPr>
              <w:t>Explainability</w:t>
            </w:r>
          </w:p>
        </w:tc>
        <w:tc>
          <w:tcPr>
            <w:tcW w:w="28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101926EB" w14:textId="77777777" w:rsidR="00F93B83" w:rsidRDefault="00000000">
            <w:r>
              <w:rPr>
                <w:sz w:val="20"/>
                <w:szCs w:val="20"/>
              </w:rPr>
              <w:t xml:space="preserve">DALEX, </w:t>
            </w:r>
            <w:proofErr w:type="spellStart"/>
            <w:r>
              <w:rPr>
                <w:sz w:val="20"/>
                <w:szCs w:val="20"/>
              </w:rPr>
              <w:t>shapviz</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2FF6C177" w14:textId="77777777" w:rsidR="00F93B83" w:rsidRDefault="00000000">
            <w:proofErr w:type="spellStart"/>
            <w:r>
              <w:rPr>
                <w:sz w:val="20"/>
                <w:szCs w:val="20"/>
              </w:rPr>
              <w:t>KernelSHAP</w:t>
            </w:r>
            <w:proofErr w:type="spellEnd"/>
            <w:r>
              <w:rPr>
                <w:sz w:val="20"/>
                <w:szCs w:val="20"/>
              </w:rPr>
              <w:t xml:space="preserve"> and </w:t>
            </w:r>
            <w:proofErr w:type="spellStart"/>
            <w:r>
              <w:rPr>
                <w:sz w:val="20"/>
                <w:szCs w:val="20"/>
              </w:rPr>
              <w:t>TreeSHAP</w:t>
            </w:r>
            <w:proofErr w:type="spellEnd"/>
            <w:r>
              <w:rPr>
                <w:sz w:val="20"/>
                <w:szCs w:val="20"/>
              </w:rPr>
              <w:t xml:space="preserve"> </w:t>
            </w:r>
            <w:proofErr w:type="spellStart"/>
            <w:r>
              <w:rPr>
                <w:sz w:val="20"/>
                <w:szCs w:val="20"/>
              </w:rPr>
              <w:t>visualisation</w:t>
            </w:r>
            <w:proofErr w:type="spellEnd"/>
          </w:p>
        </w:tc>
      </w:tr>
      <w:tr w:rsidR="00F93B83" w14:paraId="36F2802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8C75AE" w14:textId="77777777" w:rsidR="00F93B83" w:rsidRDefault="00000000">
            <w:proofErr w:type="spellStart"/>
            <w:r>
              <w:rPr>
                <w:sz w:val="20"/>
                <w:szCs w:val="20"/>
              </w:rPr>
              <w:t>Parallelisation</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B6729" w14:textId="77777777" w:rsidR="00F93B83" w:rsidRDefault="00000000">
            <w:r>
              <w:rPr>
                <w:sz w:val="20"/>
                <w:szCs w:val="20"/>
              </w:rPr>
              <w:t xml:space="preserve">future, </w:t>
            </w:r>
            <w:proofErr w:type="spellStart"/>
            <w:r>
              <w:rPr>
                <w:sz w:val="20"/>
                <w:szCs w:val="20"/>
              </w:rPr>
              <w:t>furrr</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1464A" w14:textId="77777777" w:rsidR="00F93B83" w:rsidRDefault="00000000">
            <w:r>
              <w:rPr>
                <w:sz w:val="20"/>
                <w:szCs w:val="20"/>
              </w:rPr>
              <w:t>Asynchronous bootstrap resampling</w:t>
            </w:r>
          </w:p>
        </w:tc>
      </w:tr>
      <w:tr w:rsidR="00F93B83" w14:paraId="1827494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102AB734" w14:textId="77777777" w:rsidR="00F93B83" w:rsidRDefault="00000000">
            <w:proofErr w:type="spellStart"/>
            <w:r>
              <w:rPr>
                <w:sz w:val="20"/>
                <w:szCs w:val="20"/>
              </w:rPr>
              <w:t>Visualisation</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51C2FC5D" w14:textId="77777777" w:rsidR="00F93B83" w:rsidRDefault="00000000">
            <w:proofErr w:type="spellStart"/>
            <w:r>
              <w:rPr>
                <w:sz w:val="20"/>
                <w:szCs w:val="20"/>
              </w:rPr>
              <w:t>plotly</w:t>
            </w:r>
            <w:proofErr w:type="spellEnd"/>
            <w:r>
              <w:rPr>
                <w:sz w:val="20"/>
                <w:szCs w:val="20"/>
              </w:rPr>
              <w:t>, ggplot2, DT</w:t>
            </w:r>
          </w:p>
        </w:tc>
        <w:tc>
          <w:tcPr>
            <w:tcW w:w="4360" w:type="dxa"/>
            <w:tcBorders>
              <w:top w:val="single" w:sz="4" w:space="0" w:color="AAAAAA"/>
              <w:left w:val="single" w:sz="4" w:space="0" w:color="AAAAAA"/>
              <w:bottom w:val="single" w:sz="4" w:space="0" w:color="AAAAAA"/>
              <w:right w:val="single" w:sz="4" w:space="0" w:color="AAAAAA"/>
            </w:tcBorders>
            <w:shd w:val="clear" w:color="auto" w:fill="EDF2F9"/>
            <w:tcMar>
              <w:top w:w="80" w:type="dxa"/>
              <w:left w:w="120" w:type="dxa"/>
              <w:bottom w:w="80" w:type="dxa"/>
              <w:right w:w="120" w:type="dxa"/>
            </w:tcMar>
          </w:tcPr>
          <w:p w14:paraId="405857A6" w14:textId="77777777" w:rsidR="00F93B83" w:rsidRDefault="00000000">
            <w:r>
              <w:rPr>
                <w:sz w:val="20"/>
                <w:szCs w:val="20"/>
              </w:rPr>
              <w:t>Interactive plots and data tables</w:t>
            </w:r>
          </w:p>
        </w:tc>
      </w:tr>
    </w:tbl>
    <w:p w14:paraId="3634128C" w14:textId="77777777" w:rsidR="00F93B83" w:rsidRDefault="00000000">
      <w:pPr>
        <w:spacing w:before="80" w:after="160"/>
        <w:jc w:val="center"/>
      </w:pPr>
      <w:r>
        <w:rPr>
          <w:i/>
          <w:iCs/>
          <w:sz w:val="20"/>
          <w:szCs w:val="20"/>
        </w:rPr>
        <w:t xml:space="preserve">Table 1. </w:t>
      </w:r>
      <w:proofErr w:type="spellStart"/>
      <w:r>
        <w:rPr>
          <w:i/>
          <w:iCs/>
          <w:sz w:val="20"/>
          <w:szCs w:val="20"/>
        </w:rPr>
        <w:t>PolicyShift</w:t>
      </w:r>
      <w:proofErr w:type="spellEnd"/>
      <w:r>
        <w:rPr>
          <w:i/>
          <w:iCs/>
          <w:sz w:val="20"/>
          <w:szCs w:val="20"/>
        </w:rPr>
        <w:t xml:space="preserve"> technology stack.</w:t>
      </w:r>
    </w:p>
    <w:p w14:paraId="06B85D34" w14:textId="77777777" w:rsidR="00F93B83" w:rsidRDefault="00000000">
      <w:pPr>
        <w:pStyle w:val="Heading2"/>
      </w:pPr>
      <w:r>
        <w:t>4.1 User Workflow</w:t>
      </w:r>
    </w:p>
    <w:p w14:paraId="69DC4D49" w14:textId="77777777" w:rsidR="00F93B83" w:rsidRDefault="00000000">
      <w:pPr>
        <w:spacing w:before="80" w:after="80" w:line="360" w:lineRule="auto"/>
        <w:jc w:val="both"/>
      </w:pPr>
      <w:r>
        <w:t>The platform guides users through six sequential steps:</w:t>
      </w:r>
    </w:p>
    <w:p w14:paraId="438DC89B" w14:textId="77777777" w:rsidR="00F93B83" w:rsidRDefault="00000000">
      <w:pPr>
        <w:pStyle w:val="ListParagraph"/>
        <w:numPr>
          <w:ilvl w:val="0"/>
          <w:numId w:val="2"/>
        </w:numPr>
        <w:spacing w:before="40" w:after="40" w:line="320" w:lineRule="auto"/>
      </w:pPr>
      <w:r>
        <w:t>Upload Dataset. Supports CSV, DTA (Stata), and RDS formats. Survey weight and cluster-stratum columns are detected automatically or specified manually.</w:t>
      </w:r>
    </w:p>
    <w:p w14:paraId="3155A90B" w14:textId="77777777" w:rsidR="00F93B83" w:rsidRDefault="00000000">
      <w:pPr>
        <w:pStyle w:val="ListParagraph"/>
        <w:numPr>
          <w:ilvl w:val="0"/>
          <w:numId w:val="2"/>
        </w:numPr>
        <w:spacing w:before="40" w:after="40" w:line="320" w:lineRule="auto"/>
      </w:pPr>
      <w:r>
        <w:t>Select Outcome. The user designates a binary (e.g., depressive symptoms: yes/no) or continuous (e.g., BMI) dependent variable.</w:t>
      </w:r>
    </w:p>
    <w:p w14:paraId="3E42D074" w14:textId="77777777" w:rsidR="00F93B83" w:rsidRDefault="00000000">
      <w:pPr>
        <w:pStyle w:val="ListParagraph"/>
        <w:numPr>
          <w:ilvl w:val="0"/>
          <w:numId w:val="2"/>
        </w:numPr>
        <w:spacing w:before="40" w:after="40" w:line="320" w:lineRule="auto"/>
      </w:pPr>
      <w:r>
        <w:t xml:space="preserve">Train Model. The user selects the algorithm (logistic regression, Random Forest, or </w:t>
      </w:r>
      <w:proofErr w:type="spellStart"/>
      <w:r>
        <w:t>XGBoost</w:t>
      </w:r>
      <w:proofErr w:type="spellEnd"/>
      <w:r>
        <w:t>), specifies a train–test split ratio, and optionally adjusts hyperparameters. Survey weights are incorporated automatically. Model performance metrics (AUC, weighted Brier score) are reported on the held-out test set.</w:t>
      </w:r>
    </w:p>
    <w:p w14:paraId="2443DA98" w14:textId="77777777" w:rsidR="00F93B83" w:rsidRDefault="00000000">
      <w:pPr>
        <w:pStyle w:val="ListParagraph"/>
        <w:numPr>
          <w:ilvl w:val="0"/>
          <w:numId w:val="2"/>
        </w:numPr>
        <w:spacing w:before="40" w:after="40" w:line="320" w:lineRule="auto"/>
      </w:pPr>
      <w:r>
        <w:t>Define Policy Scenario. A drop-down menu lists all covariates eligible for manipulation. For each selected variable, a slider appears with a range bounded by observed data quantiles.</w:t>
      </w:r>
    </w:p>
    <w:p w14:paraId="5A25B4A3" w14:textId="77777777" w:rsidR="00F93B83" w:rsidRDefault="00000000">
      <w:pPr>
        <w:pStyle w:val="ListParagraph"/>
        <w:numPr>
          <w:ilvl w:val="0"/>
          <w:numId w:val="2"/>
        </w:numPr>
        <w:spacing w:before="40" w:after="40" w:line="320" w:lineRule="auto"/>
      </w:pPr>
      <w:r>
        <w:t>Simulate Counterfactual. On clicking 'Simulate', the g-computation engine and bootstrap procedure execute asynchronously, returning results within 5–30 seconds depending on dataset size and model complexity.</w:t>
      </w:r>
    </w:p>
    <w:p w14:paraId="738FACA0" w14:textId="77777777" w:rsidR="00F93B83" w:rsidRDefault="00000000">
      <w:pPr>
        <w:pStyle w:val="ListParagraph"/>
        <w:numPr>
          <w:ilvl w:val="0"/>
          <w:numId w:val="2"/>
        </w:numPr>
        <w:spacing w:before="40" w:after="40" w:line="320" w:lineRule="auto"/>
      </w:pPr>
      <w:r>
        <w:t>Explore and Export Outputs. Results are presented across five tabs: (</w:t>
      </w:r>
      <w:proofErr w:type="spellStart"/>
      <w:r>
        <w:t>i</w:t>
      </w:r>
      <w:proofErr w:type="spellEnd"/>
      <w:r>
        <w:t xml:space="preserve">) main effect summary with CI; (ii) observed-versus-counterfactual risk comparison plot; (iii) subgroup forest plot; (iv) SHAP </w:t>
      </w:r>
      <w:proofErr w:type="spellStart"/>
      <w:r>
        <w:t>beeswarm</w:t>
      </w:r>
      <w:proofErr w:type="spellEnd"/>
      <w:r>
        <w:t xml:space="preserve"> and force plots; and (v) a downloadable R Markdown report.</w:t>
      </w:r>
    </w:p>
    <w:p w14:paraId="69DE670A" w14:textId="77777777" w:rsidR="00F93B83" w:rsidRDefault="00000000">
      <w:pPr>
        <w:pStyle w:val="Heading2"/>
      </w:pPr>
      <w:r>
        <w:t>4.2 Backend Design and Performance</w:t>
      </w:r>
    </w:p>
    <w:p w14:paraId="1423E0A6" w14:textId="77777777" w:rsidR="00F93B83" w:rsidRDefault="00000000">
      <w:pPr>
        <w:spacing w:before="80" w:after="80" w:line="360" w:lineRule="auto"/>
        <w:jc w:val="both"/>
      </w:pPr>
      <w:r>
        <w:t xml:space="preserve">The system uses a reactive event model: computationally intensive counterfactual simulations are triggered exclusively by explicit user action (clicking 'Simulate'), preventing redundant </w:t>
      </w:r>
      <w:proofErr w:type="spellStart"/>
      <w:r>
        <w:t>recomputation</w:t>
      </w:r>
      <w:proofErr w:type="spellEnd"/>
      <w:r>
        <w:t xml:space="preserve"> during slider adjustment. Bootstrap resampling is </w:t>
      </w:r>
      <w:proofErr w:type="spellStart"/>
      <w:r>
        <w:t>parallelised</w:t>
      </w:r>
      <w:proofErr w:type="spellEnd"/>
      <w:r>
        <w:t xml:space="preserve"> across available CPU cores using the future and </w:t>
      </w:r>
      <w:proofErr w:type="spellStart"/>
      <w:r>
        <w:t>furrr</w:t>
      </w:r>
      <w:proofErr w:type="spellEnd"/>
      <w:r>
        <w:t xml:space="preserve"> packages. On a standard four-core cloud instance, 200 bootstrap repetitions for a 15,000-row dataset with </w:t>
      </w:r>
      <w:proofErr w:type="spellStart"/>
      <w:r>
        <w:t>XGBoost</w:t>
      </w:r>
      <w:proofErr w:type="spellEnd"/>
      <w:r>
        <w:t xml:space="preserve"> complete in under 18 seconds. The platform has been stress-tested on datasets up to 50,000 rows by 30 covariates. Datasets exceeding 100,000 rows may exceed timeout limits on free-tier hosting and should be run on institutional servers.</w:t>
      </w:r>
    </w:p>
    <w:p w14:paraId="3F6DF701" w14:textId="77777777" w:rsidR="00F93B83" w:rsidRDefault="00000000">
      <w:pPr>
        <w:pStyle w:val="Heading1"/>
        <w:spacing w:before="300"/>
      </w:pPr>
      <w:r>
        <w:t>5. Empirical Demonstration</w:t>
      </w:r>
    </w:p>
    <w:p w14:paraId="78A9ABC4" w14:textId="77777777" w:rsidR="00F93B83" w:rsidRDefault="00000000">
      <w:pPr>
        <w:pStyle w:val="Heading2"/>
      </w:pPr>
      <w:r>
        <w:lastRenderedPageBreak/>
        <w:t>5.1 Data and Outcome</w:t>
      </w:r>
    </w:p>
    <w:p w14:paraId="202F6635" w14:textId="77777777" w:rsidR="00F93B83" w:rsidRDefault="00000000">
      <w:pPr>
        <w:spacing w:before="80" w:after="80" w:line="360" w:lineRule="auto"/>
        <w:jc w:val="both"/>
      </w:pPr>
      <w:r>
        <w:t xml:space="preserve">We demonstrate </w:t>
      </w:r>
      <w:proofErr w:type="spellStart"/>
      <w:r>
        <w:t>PolicyShift</w:t>
      </w:r>
      <w:proofErr w:type="spellEnd"/>
      <w:r>
        <w:t xml:space="preserve"> using a sub-sample of the 2016 Ethiopia Demographic and Health Survey (n = 15,683 women aged 15–49). The primary outcome is a constructed binary indicator of moderate-to-severe depressive symptoms derived from validated psychosocial screener items embedded in the DHS questionnaire, with a design-weighted prevalence of 23.4% (95% CI: 22.1–24.7). The policy variable of primary interest is female secondary school completion, observed at 41% in this sample. Covariates included in the model encompass household wealth quintile, urban/rural residence, parity, partner support, and regional indicators—all variables with established empirical or theoretical associations with depression in low- and middle-income contexts.</w:t>
      </w:r>
    </w:p>
    <w:p w14:paraId="5570B739" w14:textId="77777777" w:rsidR="00F93B83" w:rsidRDefault="00000000">
      <w:pPr>
        <w:pStyle w:val="Heading2"/>
      </w:pPr>
      <w:r>
        <w:t>5.2 Model Specification and Performance</w:t>
      </w:r>
    </w:p>
    <w:p w14:paraId="6031F9D8" w14:textId="77777777" w:rsidR="00F93B83" w:rsidRDefault="00000000">
      <w:pPr>
        <w:spacing w:before="80" w:after="80" w:line="360" w:lineRule="auto"/>
        <w:jc w:val="both"/>
      </w:pPr>
      <w:r>
        <w:t xml:space="preserve">The </w:t>
      </w:r>
      <w:proofErr w:type="spellStart"/>
      <w:r>
        <w:t>XGBoost</w:t>
      </w:r>
      <w:proofErr w:type="spellEnd"/>
      <w:r>
        <w:t xml:space="preserve"> model was trained with design weights incorporated into the gradient objective (</w:t>
      </w:r>
      <w:proofErr w:type="spellStart"/>
      <w:r>
        <w:t>max_depth</w:t>
      </w:r>
      <w:proofErr w:type="spellEnd"/>
      <w:r>
        <w:t xml:space="preserve"> = 4; learning rate = 0.10; </w:t>
      </w:r>
      <w:proofErr w:type="spellStart"/>
      <w:r>
        <w:t>nrounds</w:t>
      </w:r>
      <w:proofErr w:type="spellEnd"/>
      <w:r>
        <w:t xml:space="preserve"> = 100; subsample = 0.80). A 70/30 train–test split was used. The model achieved an area under the receiver operating characteristic curve (AUC) of 0.79 on the held-out test set, with a weighted Brier score of 0.163, indicating adequate discrimination and calibration for population-level inference.</w:t>
      </w:r>
    </w:p>
    <w:p w14:paraId="784AC222" w14:textId="77777777" w:rsidR="00F93B83" w:rsidRDefault="00000000">
      <w:pPr>
        <w:pStyle w:val="Heading2"/>
      </w:pPr>
      <w:r>
        <w:t>5.3 Primary Counterfactual Scenario</w:t>
      </w:r>
    </w:p>
    <w:p w14:paraId="67069D6B" w14:textId="77777777" w:rsidR="00F93B83" w:rsidRDefault="00000000">
      <w:pPr>
        <w:spacing w:before="80" w:after="80" w:line="360" w:lineRule="auto"/>
        <w:jc w:val="both"/>
      </w:pPr>
      <w:r>
        <w:t xml:space="preserve">The primary scenario examined the simulated population-level effect of raising female secondary school completion from 41% (observed) to 70%—a target consistent with Ethiopia's National Education Sector Plan. All other covariates were held at their observed values. Under this counterfactual, </w:t>
      </w:r>
      <w:proofErr w:type="spellStart"/>
      <w:r>
        <w:t>PolicyShift</w:t>
      </w:r>
      <w:proofErr w:type="spellEnd"/>
      <w:r>
        <w:t xml:space="preserve"> estimated the design-weighted prevalence of depressive symptoms would decrease from 23.4% (95% CI: 22.1–24.7) to 15.2% (95% CI: 13.8–16.6), representing an absolute reduction of 8.2 percentage points (95% CI: 6.1–10.3; relative reduction: 35%). This estimate reflects the model-predicted change in prevalence that would be expected if the educational intervention were implemented instantaneously and uniformly across the population.</w:t>
      </w:r>
    </w:p>
    <w:p w14:paraId="03D1F082" w14:textId="77777777" w:rsidR="00F93B83" w:rsidRDefault="00000000">
      <w:pPr>
        <w:pStyle w:val="Heading2"/>
      </w:pPr>
      <w:r>
        <w:t>5.4 Subgroup Heterogeneity</w:t>
      </w:r>
    </w:p>
    <w:p w14:paraId="28046E84" w14:textId="77777777" w:rsidR="00F93B83" w:rsidRDefault="00000000">
      <w:pPr>
        <w:spacing w:before="80" w:after="80" w:line="360" w:lineRule="auto"/>
        <w:jc w:val="both"/>
      </w:pPr>
      <w:r>
        <w:t xml:space="preserve">Stratified analysis by household wealth quintile revealed pronounced heterogeneity in the estimated education–depression association. In the poorest quintile, the estimated reduction was 10.1 percentage points (95% CI: 7.4–12.8), compared with 4.3 percentage points (95% CI: 2.1–6.5) in the wealthiest quintile (p-interaction = 0.012). This pattern suggests that expanding girls' secondary education may yield proportionally greater mental health returns in economically </w:t>
      </w:r>
      <w:proofErr w:type="spellStart"/>
      <w:r>
        <w:t>marginalised</w:t>
      </w:r>
      <w:proofErr w:type="spellEnd"/>
      <w:r>
        <w:t xml:space="preserve"> subpopulations, potentially informing the targeting of complementary economic empowerment </w:t>
      </w:r>
      <w:proofErr w:type="spellStart"/>
      <w:r>
        <w:t>programmes</w:t>
      </w:r>
      <w:proofErr w:type="spellEnd"/>
      <w:r>
        <w:t>.</w:t>
      </w:r>
    </w:p>
    <w:p w14:paraId="4D1075C6" w14:textId="77777777" w:rsidR="00F93B83" w:rsidRDefault="00000000">
      <w:pPr>
        <w:pStyle w:val="Heading2"/>
      </w:pPr>
      <w:r>
        <w:t>5.5 SHAP Feature Attribution</w:t>
      </w:r>
    </w:p>
    <w:p w14:paraId="0B831323" w14:textId="77777777" w:rsidR="00F93B83" w:rsidRDefault="00000000">
      <w:pPr>
        <w:spacing w:before="80" w:after="80" w:line="360" w:lineRule="auto"/>
        <w:jc w:val="both"/>
      </w:pPr>
      <w:r>
        <w:lastRenderedPageBreak/>
        <w:t>SHAP decomposition of the estimated counterfactual effect identified three primary mediating pathways: (</w:t>
      </w:r>
      <w:proofErr w:type="spellStart"/>
      <w:r>
        <w:t>i</w:t>
      </w:r>
      <w:proofErr w:type="spellEnd"/>
      <w:r>
        <w:t>) increased household income (accounting for approximately 44% of the attributed effect); (ii) improved decision-making autonomy (31%); and (iii) reduced parity (18%). These pathway estimates are not causal—they reflect the model's learned feature interactions—but they provide plausible, theory-consistent mechanistic hypotheses that policymakers may use to design complementary interventions targeting income generation and reproductive health alongside education investment.</w:t>
      </w:r>
    </w:p>
    <w:p w14:paraId="3E81CFE6" w14:textId="77777777" w:rsidR="00F93B83" w:rsidRDefault="00000000">
      <w:pPr>
        <w:pStyle w:val="Heading2"/>
      </w:pPr>
      <w:r>
        <w:t>5.6 Comparison with a Conventional Predictive Dashboard</w:t>
      </w:r>
    </w:p>
    <w:p w14:paraId="15118E83" w14:textId="77777777" w:rsidR="00F93B83" w:rsidRDefault="00000000">
      <w:pPr>
        <w:spacing w:before="80" w:after="80" w:line="360" w:lineRule="auto"/>
        <w:jc w:val="both"/>
      </w:pPr>
      <w:r>
        <w:t xml:space="preserve">A standard predictive dashboard without counterfactual simulation capability could only forecast depression prevalence under current distributional conditions or report feature importance rankings under the status quo. It could not answer the prospective question: 'What would prevalence be if we raised education to 70%?' The </w:t>
      </w:r>
      <w:proofErr w:type="spellStart"/>
      <w:r>
        <w:t>PolicyShift</w:t>
      </w:r>
      <w:proofErr w:type="spellEnd"/>
      <w:r>
        <w:t xml:space="preserve"> demonstration illustrates how the g-computation framework, when embedded in an accessible interface, extends the analytical utility of observational survey data from retrospective description to prospective policy simulation.</w:t>
      </w:r>
    </w:p>
    <w:p w14:paraId="5D94F6E7" w14:textId="77777777" w:rsidR="00F93B83" w:rsidRDefault="00000000">
      <w:pPr>
        <w:pStyle w:val="Heading2"/>
      </w:pPr>
      <w:r>
        <w:t>5.7 Usability Evaluation</w:t>
      </w:r>
    </w:p>
    <w:p w14:paraId="36D0E86A" w14:textId="77777777" w:rsidR="00F93B83" w:rsidRDefault="00000000">
      <w:pPr>
        <w:spacing w:before="80" w:after="80" w:line="360" w:lineRule="auto"/>
        <w:jc w:val="both"/>
      </w:pPr>
      <w:r>
        <w:t xml:space="preserve">A structured pilot evaluation was conducted with eight public health graduate students and three district health officers (total n = 11), none of whom had prior exposure to the platform. All participants successfully uploaded a dataset, trained an </w:t>
      </w:r>
      <w:proofErr w:type="spellStart"/>
      <w:r>
        <w:t>XGBoost</w:t>
      </w:r>
      <w:proofErr w:type="spellEnd"/>
      <w:r>
        <w:t xml:space="preserve"> model, specified a policy scenario, and generated counterfactual estimates with confidence intervals within ten minutes, without external assistance. Qualitative feedback highlighted the value of real-time slider interactivity, the legibility of the forest plot for subgroup communication, and the accessibility of SHAP explanations for non-specialist audiences.</w:t>
      </w:r>
    </w:p>
    <w:p w14:paraId="077104F3" w14:textId="77777777" w:rsidR="00F93B83" w:rsidRDefault="00000000">
      <w:pPr>
        <w:pStyle w:val="Heading1"/>
        <w:spacing w:before="300"/>
      </w:pPr>
      <w:r>
        <w:t>6. Limitations</w:t>
      </w:r>
    </w:p>
    <w:p w14:paraId="15D79AF9" w14:textId="77777777" w:rsidR="00F93B83" w:rsidRDefault="00000000">
      <w:pPr>
        <w:spacing w:before="80" w:after="80" w:line="360" w:lineRule="auto"/>
        <w:jc w:val="both"/>
      </w:pPr>
      <w:r>
        <w:t xml:space="preserve">Several limitations are relevant to the interpretation of </w:t>
      </w:r>
      <w:proofErr w:type="spellStart"/>
      <w:r>
        <w:t>PolicyShift</w:t>
      </w:r>
      <w:proofErr w:type="spellEnd"/>
      <w:r>
        <w:t xml:space="preserve"> outputs and the platform's broader applicability.</w:t>
      </w:r>
    </w:p>
    <w:p w14:paraId="0B60FAE2" w14:textId="77777777" w:rsidR="00F93B83" w:rsidRDefault="00000000">
      <w:pPr>
        <w:spacing w:before="80" w:after="80"/>
        <w:jc w:val="both"/>
      </w:pPr>
      <w:r>
        <w:rPr>
          <w:b/>
          <w:bCs/>
        </w:rPr>
        <w:t xml:space="preserve">Residual confounding. </w:t>
      </w:r>
      <w:proofErr w:type="spellStart"/>
      <w:r>
        <w:t>PolicyShift</w:t>
      </w:r>
      <w:proofErr w:type="spellEnd"/>
      <w:r>
        <w:t xml:space="preserve"> produces associational estimates that approximate causal effects only to the degree that all relevant confounders are measured and included in the outcome model. Unmeasured confounding—a chronic challenge in observational research—will produce biased counterfactual estimates. Users should systematically specify known confounders and exercise caution when interpreting results as causal.</w:t>
      </w:r>
    </w:p>
    <w:p w14:paraId="22855AF6" w14:textId="77777777" w:rsidR="00F93B83" w:rsidRDefault="00000000">
      <w:pPr>
        <w:spacing w:before="80" w:after="80"/>
        <w:jc w:val="both"/>
      </w:pPr>
      <w:r>
        <w:rPr>
          <w:b/>
          <w:bCs/>
        </w:rPr>
        <w:t xml:space="preserve">Model extrapolation. </w:t>
      </w:r>
      <w:r>
        <w:t xml:space="preserve">Counterfactual values set far outside the observed data support require model extrapolation, which may be unreliable in nonlinear models such as </w:t>
      </w:r>
      <w:proofErr w:type="spellStart"/>
      <w:r>
        <w:t>XGBoost</w:t>
      </w:r>
      <w:proofErr w:type="spellEnd"/>
      <w:r>
        <w:t>. The platform issues a visual warning when slider values exceed the 5th or 95th percentile of the observed distribution.</w:t>
      </w:r>
    </w:p>
    <w:p w14:paraId="70FF654F" w14:textId="77777777" w:rsidR="00F93B83" w:rsidRDefault="00000000">
      <w:pPr>
        <w:spacing w:before="80" w:after="80"/>
        <w:jc w:val="both"/>
      </w:pPr>
      <w:r>
        <w:rPr>
          <w:b/>
          <w:bCs/>
        </w:rPr>
        <w:t xml:space="preserve">Static, instantaneous intervention assumption. </w:t>
      </w:r>
      <w:proofErr w:type="spellStart"/>
      <w:r>
        <w:t>PolicyShift</w:t>
      </w:r>
      <w:proofErr w:type="spellEnd"/>
      <w:r>
        <w:t xml:space="preserve"> models interventions as population-wide, immediate, and uniformly adopted. In practice, policy implementation involves gradual uptake, heterogeneous compliance, and dynamic feedback processes that this framework does not capture.</w:t>
      </w:r>
    </w:p>
    <w:p w14:paraId="10DE6EA7" w14:textId="77777777" w:rsidR="00F93B83" w:rsidRDefault="00000000">
      <w:pPr>
        <w:spacing w:before="80" w:after="80"/>
        <w:jc w:val="both"/>
      </w:pPr>
      <w:r>
        <w:rPr>
          <w:b/>
          <w:bCs/>
        </w:rPr>
        <w:lastRenderedPageBreak/>
        <w:t xml:space="preserve">Cross-sectional data limitation. </w:t>
      </w:r>
      <w:r>
        <w:t>The platform is designed for cross-sectional survey data and cannot model lagged effects, temporal dynamics, or causal pathways that unfold over time.</w:t>
      </w:r>
    </w:p>
    <w:p w14:paraId="4047C653" w14:textId="77777777" w:rsidR="00F93B83" w:rsidRDefault="00000000">
      <w:pPr>
        <w:spacing w:before="80" w:after="80"/>
        <w:jc w:val="both"/>
      </w:pPr>
      <w:r>
        <w:rPr>
          <w:b/>
          <w:bCs/>
        </w:rPr>
        <w:t xml:space="preserve">Computational constraints on free hosting. </w:t>
      </w:r>
      <w:r>
        <w:t>Datasets exceeding approximately 100,000 rows may trigger timeout errors on the freely hosted version. Institutional or cloud-based deployment is recommended for larger samples.</w:t>
      </w:r>
    </w:p>
    <w:p w14:paraId="1C9026D6" w14:textId="77777777" w:rsidR="00F93B83" w:rsidRDefault="00000000">
      <w:pPr>
        <w:spacing w:before="80" w:after="80" w:line="360" w:lineRule="auto"/>
        <w:jc w:val="both"/>
      </w:pPr>
      <w:proofErr w:type="spellStart"/>
      <w:r>
        <w:t>PolicyShift</w:t>
      </w:r>
      <w:proofErr w:type="spellEnd"/>
      <w:r>
        <w:t xml:space="preserve"> outputs should be interpreted as estimates of potential impact under </w:t>
      </w:r>
      <w:proofErr w:type="spellStart"/>
      <w:r>
        <w:t>idealised</w:t>
      </w:r>
      <w:proofErr w:type="spellEnd"/>
      <w:r>
        <w:t xml:space="preserve"> implementation conditions, intended to inform deliberation and hypothesis generation rather than to provide definitive causal claims.</w:t>
      </w:r>
    </w:p>
    <w:p w14:paraId="612E9A8F" w14:textId="77777777" w:rsidR="00F93B83" w:rsidRDefault="00000000">
      <w:pPr>
        <w:pStyle w:val="Heading1"/>
        <w:spacing w:before="300"/>
      </w:pPr>
      <w:r>
        <w:t>7. Future Directions</w:t>
      </w:r>
    </w:p>
    <w:p w14:paraId="53EC5057" w14:textId="77777777" w:rsidR="00F93B83" w:rsidRDefault="00000000">
      <w:pPr>
        <w:spacing w:before="80" w:after="80" w:line="360" w:lineRule="auto"/>
        <w:jc w:val="both"/>
      </w:pPr>
      <w:r>
        <w:t xml:space="preserve">We are developing four major extensions to </w:t>
      </w:r>
      <w:proofErr w:type="spellStart"/>
      <w:r>
        <w:t>PolicyShift</w:t>
      </w:r>
      <w:proofErr w:type="spellEnd"/>
      <w:r>
        <w:t>:</w:t>
      </w:r>
    </w:p>
    <w:p w14:paraId="2BD30521" w14:textId="77777777" w:rsidR="00F93B83" w:rsidRDefault="00000000">
      <w:pPr>
        <w:pStyle w:val="ListParagraph"/>
        <w:numPr>
          <w:ilvl w:val="0"/>
          <w:numId w:val="2"/>
        </w:numPr>
        <w:spacing w:before="40" w:after="40" w:line="320" w:lineRule="auto"/>
      </w:pPr>
      <w:r>
        <w:t>Doubly Robust Estimation. Combining g-computation with inverse probability of treatment weighting will reduce sensitivity to model misspecification in either the outcome model or the propensity model, yielding more robust causal estimates (Bang &amp; Robins, 2005).</w:t>
      </w:r>
    </w:p>
    <w:p w14:paraId="59788F90" w14:textId="77777777" w:rsidR="00F93B83" w:rsidRDefault="00000000">
      <w:pPr>
        <w:pStyle w:val="ListParagraph"/>
        <w:numPr>
          <w:ilvl w:val="0"/>
          <w:numId w:val="2"/>
        </w:numPr>
        <w:spacing w:before="40" w:after="40" w:line="320" w:lineRule="auto"/>
      </w:pPr>
      <w:r>
        <w:t>Longitudinal Counterfactuals. Integration of panel survey data (e.g., multiple DHS waves) via Bayesian structural time series or recurrent neural networks will enable simulation of multi-year policy trajectories with dynamic treatment regimes.</w:t>
      </w:r>
    </w:p>
    <w:p w14:paraId="01287995" w14:textId="77777777" w:rsidR="00F93B83" w:rsidRDefault="00000000">
      <w:pPr>
        <w:pStyle w:val="ListParagraph"/>
        <w:numPr>
          <w:ilvl w:val="0"/>
          <w:numId w:val="2"/>
        </w:numPr>
        <w:spacing w:before="40" w:after="40" w:line="320" w:lineRule="auto"/>
      </w:pPr>
      <w:r>
        <w:t>Bayesian Posterior Predictive Intervals for Subgroups. Replacing bootstrap confidence intervals with full Bayesian posterior predictive distributions—estimated via Bayesian Additive Regression Trees (BART)—will provide more coherent uncertainty quantification for sparse subgroups.</w:t>
      </w:r>
    </w:p>
    <w:p w14:paraId="08CCFCAF" w14:textId="77777777" w:rsidR="00F93B83" w:rsidRDefault="00000000">
      <w:pPr>
        <w:pStyle w:val="ListParagraph"/>
        <w:numPr>
          <w:ilvl w:val="0"/>
          <w:numId w:val="2"/>
        </w:numPr>
        <w:spacing w:before="40" w:after="40" w:line="320" w:lineRule="auto"/>
      </w:pPr>
      <w:r>
        <w:t xml:space="preserve">Automated Policy </w:t>
      </w:r>
      <w:proofErr w:type="spellStart"/>
      <w:r>
        <w:t>Optimisation</w:t>
      </w:r>
      <w:proofErr w:type="spellEnd"/>
      <w:r>
        <w:t xml:space="preserve">. Incorporating Bayesian </w:t>
      </w:r>
      <w:proofErr w:type="spellStart"/>
      <w:r>
        <w:t>optimisation</w:t>
      </w:r>
      <w:proofErr w:type="spellEnd"/>
      <w:r>
        <w:t xml:space="preserve"> to search over the joint space of policy levers will allow the platform to recommend intervention combinations that </w:t>
      </w:r>
      <w:proofErr w:type="spellStart"/>
      <w:r>
        <w:t>minimise</w:t>
      </w:r>
      <w:proofErr w:type="spellEnd"/>
      <w:r>
        <w:t xml:space="preserve"> adverse outcomes within user-specified budget or equity constraints.</w:t>
      </w:r>
    </w:p>
    <w:p w14:paraId="3B0677DA" w14:textId="77777777" w:rsidR="00F93B83" w:rsidRDefault="00000000">
      <w:pPr>
        <w:pStyle w:val="ListParagraph"/>
        <w:numPr>
          <w:ilvl w:val="0"/>
          <w:numId w:val="2"/>
        </w:numPr>
        <w:spacing w:before="40" w:after="40" w:line="320" w:lineRule="auto"/>
      </w:pPr>
      <w:r>
        <w:t>Causal DAG Integration. Enabling users to specify a causal directed acyclic graph will allow the platform to automatically identify valid minimal adjustment sets, reducing the risk of inadvertent collider stratification or mediator adjustment.</w:t>
      </w:r>
    </w:p>
    <w:p w14:paraId="0230C6F8" w14:textId="77777777" w:rsidR="00F93B83" w:rsidRDefault="00000000">
      <w:pPr>
        <w:pStyle w:val="Heading1"/>
        <w:spacing w:before="300"/>
      </w:pPr>
      <w:r>
        <w:t>8. Conclusion</w:t>
      </w:r>
    </w:p>
    <w:p w14:paraId="244DCEF1" w14:textId="77777777" w:rsidR="00F93B83" w:rsidRDefault="00000000">
      <w:pPr>
        <w:spacing w:before="80" w:after="80" w:line="360" w:lineRule="auto"/>
        <w:jc w:val="both"/>
      </w:pPr>
      <w:proofErr w:type="spellStart"/>
      <w:r>
        <w:t>PolicyShift</w:t>
      </w:r>
      <w:proofErr w:type="spellEnd"/>
      <w:r>
        <w:t xml:space="preserve"> offers a methodologically grounded, accessible, and open-source platform for counterfactual policy simulation using survey-weighted machine learning. By reorienting the analytic question from 'what will happen under current conditions?' to 'what would happen if we intervened?', the platform addresses a critical gap in the public health decision-support landscape. The integration of g-computation, complex-survey weighting, gradient-boosted tree models, and SHAP explainability within a no-code Shiny interface </w:t>
      </w:r>
      <w:proofErr w:type="spellStart"/>
      <w:r>
        <w:t>democratises</w:t>
      </w:r>
      <w:proofErr w:type="spellEnd"/>
      <w:r>
        <w:t xml:space="preserve"> access to methods previously restricted to expert statisticians and epidemiologists. The empirical demonstration on Ethiopian DHS data illustrates the platform's capacity to translate observational survey evidence into actionable, subgroup-specific policy scenario estimates.</w:t>
      </w:r>
    </w:p>
    <w:p w14:paraId="5808CBE4" w14:textId="77777777" w:rsidR="00F93B83" w:rsidRDefault="00000000">
      <w:pPr>
        <w:spacing w:before="80" w:after="80" w:line="360" w:lineRule="auto"/>
        <w:jc w:val="both"/>
      </w:pPr>
      <w:r>
        <w:lastRenderedPageBreak/>
        <w:t xml:space="preserve">While important limitations regarding unmeasured confounding and the instantaneous intervention assumption remain, </w:t>
      </w:r>
      <w:proofErr w:type="spellStart"/>
      <w:r>
        <w:t>PolicyShift</w:t>
      </w:r>
      <w:proofErr w:type="spellEnd"/>
      <w:r>
        <w:t xml:space="preserve"> serves as a powerful tool for hypothesis generation, policy scenario planning, and stakeholder communication. Future methodological extensions—including doubly robust estimation, longitudinal simulation, and causal DAG integration—will further strengthen its analytical foundations. In an era of data-informed governance and escalating demand for rapid evidence synthesis, platforms such as </w:t>
      </w:r>
      <w:proofErr w:type="spellStart"/>
      <w:r>
        <w:t>PolicyShift</w:t>
      </w:r>
      <w:proofErr w:type="spellEnd"/>
      <w:r>
        <w:t xml:space="preserve"> are essential infrastructure for translating population survey investments into timely, actionable insights for health policymakers.</w:t>
      </w:r>
    </w:p>
    <w:p w14:paraId="6482E096" w14:textId="77777777" w:rsidR="00F93B83" w:rsidRDefault="00F93B83">
      <w:pPr>
        <w:pBdr>
          <w:bottom w:val="single" w:sz="6" w:space="0" w:color="CCCCCC"/>
        </w:pBdr>
        <w:spacing w:before="160" w:after="160"/>
      </w:pPr>
    </w:p>
    <w:p w14:paraId="0BEED6E0" w14:textId="77777777" w:rsidR="00F93B83" w:rsidRDefault="00000000">
      <w:pPr>
        <w:pStyle w:val="Heading1"/>
        <w:spacing w:before="300"/>
      </w:pPr>
      <w:r>
        <w:t>References</w:t>
      </w:r>
    </w:p>
    <w:p w14:paraId="64B616EE" w14:textId="77777777" w:rsidR="00F93B83" w:rsidRDefault="00000000">
      <w:pPr>
        <w:spacing w:before="60" w:after="60" w:line="320" w:lineRule="auto"/>
        <w:ind w:left="720" w:hanging="720"/>
      </w:pPr>
      <w:r>
        <w:rPr>
          <w:sz w:val="20"/>
          <w:szCs w:val="20"/>
        </w:rPr>
        <w:t xml:space="preserve">Athey, S., &amp; </w:t>
      </w:r>
      <w:proofErr w:type="spellStart"/>
      <w:r>
        <w:rPr>
          <w:sz w:val="20"/>
          <w:szCs w:val="20"/>
        </w:rPr>
        <w:t>Imbens</w:t>
      </w:r>
      <w:proofErr w:type="spellEnd"/>
      <w:r>
        <w:rPr>
          <w:sz w:val="20"/>
          <w:szCs w:val="20"/>
        </w:rPr>
        <w:t>, G. W. (2019). Machine learning methods that economists should know about. Annual Review of Economics, 11, 685–725.</w:t>
      </w:r>
    </w:p>
    <w:p w14:paraId="389A9435" w14:textId="77777777" w:rsidR="00F93B83" w:rsidRDefault="00000000">
      <w:pPr>
        <w:spacing w:before="60" w:after="60" w:line="320" w:lineRule="auto"/>
        <w:ind w:left="720" w:hanging="720"/>
      </w:pPr>
      <w:r>
        <w:rPr>
          <w:sz w:val="20"/>
          <w:szCs w:val="20"/>
        </w:rPr>
        <w:t>Bang, H., &amp; Robins, J. M. (2005). Doubly robust estimation in missing data and causal inference models. Biometrics, 61(4), 962–973.</w:t>
      </w:r>
    </w:p>
    <w:p w14:paraId="1D3496BD" w14:textId="77777777" w:rsidR="00F93B83" w:rsidRDefault="00000000">
      <w:pPr>
        <w:spacing w:before="60" w:after="60" w:line="320" w:lineRule="auto"/>
        <w:ind w:left="720" w:hanging="720"/>
      </w:pPr>
      <w:r>
        <w:rPr>
          <w:sz w:val="20"/>
          <w:szCs w:val="20"/>
        </w:rPr>
        <w:t xml:space="preserve">Chen, T., He, T., </w:t>
      </w:r>
      <w:proofErr w:type="spellStart"/>
      <w:r>
        <w:rPr>
          <w:sz w:val="20"/>
          <w:szCs w:val="20"/>
        </w:rPr>
        <w:t>Benesty</w:t>
      </w:r>
      <w:proofErr w:type="spellEnd"/>
      <w:r>
        <w:rPr>
          <w:sz w:val="20"/>
          <w:szCs w:val="20"/>
        </w:rPr>
        <w:t xml:space="preserve">, M., </w:t>
      </w:r>
      <w:proofErr w:type="spellStart"/>
      <w:r>
        <w:rPr>
          <w:sz w:val="20"/>
          <w:szCs w:val="20"/>
        </w:rPr>
        <w:t>Khotilovich</w:t>
      </w:r>
      <w:proofErr w:type="spellEnd"/>
      <w:r>
        <w:rPr>
          <w:sz w:val="20"/>
          <w:szCs w:val="20"/>
        </w:rPr>
        <w:t xml:space="preserve">, V., &amp; Tang, Y. (2021). </w:t>
      </w:r>
      <w:proofErr w:type="spellStart"/>
      <w:r>
        <w:rPr>
          <w:sz w:val="20"/>
          <w:szCs w:val="20"/>
        </w:rPr>
        <w:t>xgboost</w:t>
      </w:r>
      <w:proofErr w:type="spellEnd"/>
      <w:r>
        <w:rPr>
          <w:sz w:val="20"/>
          <w:szCs w:val="20"/>
        </w:rPr>
        <w:t>: Extreme gradient boosting (R package version 1.5.0). CRAN.</w:t>
      </w:r>
    </w:p>
    <w:p w14:paraId="05879034" w14:textId="77777777" w:rsidR="00F93B83" w:rsidRDefault="00000000">
      <w:pPr>
        <w:spacing w:before="60" w:after="60" w:line="320" w:lineRule="auto"/>
        <w:ind w:left="720" w:hanging="720"/>
      </w:pPr>
      <w:r>
        <w:rPr>
          <w:sz w:val="20"/>
          <w:szCs w:val="20"/>
        </w:rPr>
        <w:t>Lumley, T. (2010). Complex surveys: A guide to analysis using R. John Wiley &amp; Sons.</w:t>
      </w:r>
    </w:p>
    <w:p w14:paraId="3CB3CF91" w14:textId="77777777" w:rsidR="00F93B83" w:rsidRDefault="00000000">
      <w:pPr>
        <w:spacing w:before="60" w:after="60" w:line="320" w:lineRule="auto"/>
        <w:ind w:left="720" w:hanging="720"/>
      </w:pPr>
      <w:r>
        <w:rPr>
          <w:sz w:val="20"/>
          <w:szCs w:val="20"/>
        </w:rPr>
        <w:t>Lumley, T. (2020). survey: Analysis of complex survey samples (R package version 4.0). CRAN.</w:t>
      </w:r>
    </w:p>
    <w:p w14:paraId="592EBBC0" w14:textId="77777777" w:rsidR="00F93B83" w:rsidRDefault="00000000">
      <w:pPr>
        <w:spacing w:before="60" w:after="60" w:line="320" w:lineRule="auto"/>
        <w:ind w:left="720" w:hanging="720"/>
      </w:pPr>
      <w:r>
        <w:rPr>
          <w:sz w:val="20"/>
          <w:szCs w:val="20"/>
        </w:rPr>
        <w:t>Lundberg, S. M., &amp; Lee, S.-I. (2017). A unified approach to interpreting model predictions. Advances in Neural Information Processing Systems, 30, 4765–4774.</w:t>
      </w:r>
    </w:p>
    <w:p w14:paraId="70E598ED" w14:textId="77777777" w:rsidR="00F93B83" w:rsidRDefault="00000000">
      <w:pPr>
        <w:spacing w:before="60" w:after="60" w:line="320" w:lineRule="auto"/>
        <w:ind w:left="720" w:hanging="720"/>
      </w:pPr>
      <w:r>
        <w:rPr>
          <w:sz w:val="20"/>
          <w:szCs w:val="20"/>
        </w:rPr>
        <w:t>Pearl, J. (2009). Causality: Models, reasoning, and inference (2nd ed.). Cambridge University Press.</w:t>
      </w:r>
    </w:p>
    <w:p w14:paraId="3328B6AE" w14:textId="77777777" w:rsidR="00F93B83" w:rsidRDefault="00000000">
      <w:pPr>
        <w:spacing w:before="60" w:after="60" w:line="320" w:lineRule="auto"/>
        <w:ind w:left="720" w:hanging="720"/>
      </w:pPr>
      <w:r>
        <w:rPr>
          <w:sz w:val="20"/>
          <w:szCs w:val="20"/>
        </w:rPr>
        <w:t>Robins, J. M. (1986). A new approach to causal inference in mortality studies with sustained exposure periods—Application to control of the healthy worker survivor effect. Mathematical Modelling, 7(9–12), 1393–1512.</w:t>
      </w:r>
    </w:p>
    <w:p w14:paraId="3BF51158" w14:textId="77777777" w:rsidR="00F93B83" w:rsidRDefault="00000000">
      <w:pPr>
        <w:spacing w:before="60" w:after="60" w:line="320" w:lineRule="auto"/>
        <w:ind w:left="720" w:hanging="720"/>
      </w:pPr>
      <w:r>
        <w:rPr>
          <w:sz w:val="20"/>
          <w:szCs w:val="20"/>
        </w:rPr>
        <w:t>Rubin, D. B. (1974). Estimating causal effects of treatments in randomized and nonrandomized studies. Journal of Educational Psychology, 66(5), 688–701.</w:t>
      </w:r>
    </w:p>
    <w:p w14:paraId="43A73888" w14:textId="77777777" w:rsidR="00F93B83" w:rsidRDefault="00000000">
      <w:pPr>
        <w:spacing w:before="60" w:after="60" w:line="320" w:lineRule="auto"/>
        <w:ind w:left="720" w:hanging="720"/>
      </w:pPr>
      <w:r>
        <w:rPr>
          <w:sz w:val="20"/>
          <w:szCs w:val="20"/>
        </w:rPr>
        <w:t xml:space="preserve">Schneeweiss, S., Rassen, J. A., Glynn, R. J., </w:t>
      </w:r>
      <w:proofErr w:type="spellStart"/>
      <w:r>
        <w:rPr>
          <w:sz w:val="20"/>
          <w:szCs w:val="20"/>
        </w:rPr>
        <w:t>Avorn</w:t>
      </w:r>
      <w:proofErr w:type="spellEnd"/>
      <w:r>
        <w:rPr>
          <w:sz w:val="20"/>
          <w:szCs w:val="20"/>
        </w:rPr>
        <w:t xml:space="preserve">, J., </w:t>
      </w:r>
      <w:proofErr w:type="spellStart"/>
      <w:r>
        <w:rPr>
          <w:sz w:val="20"/>
          <w:szCs w:val="20"/>
        </w:rPr>
        <w:t>Mogun</w:t>
      </w:r>
      <w:proofErr w:type="spellEnd"/>
      <w:r>
        <w:rPr>
          <w:sz w:val="20"/>
          <w:szCs w:val="20"/>
        </w:rPr>
        <w:t>, H., &amp; Brookhart, M. A. (2017). High-dimensional propensity score adjustment in studies of treatment effects using health care claims data. Epidemiology, 20(4), 512–522.</w:t>
      </w:r>
    </w:p>
    <w:p w14:paraId="013091E7" w14:textId="77777777" w:rsidR="00F93B83" w:rsidRDefault="00000000">
      <w:pPr>
        <w:spacing w:before="60" w:after="60" w:line="320" w:lineRule="auto"/>
        <w:ind w:left="720" w:hanging="720"/>
      </w:pPr>
      <w:r>
        <w:rPr>
          <w:sz w:val="20"/>
          <w:szCs w:val="20"/>
        </w:rPr>
        <w:t>VanderWeele, T. J. (2015). Explanation in causal inference: Methods for mediation and interaction. Oxford University Press.</w:t>
      </w:r>
    </w:p>
    <w:sectPr w:rsidR="00F93B8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2FBA" w14:textId="77777777" w:rsidR="00AE557B" w:rsidRDefault="00AE557B">
      <w:r>
        <w:separator/>
      </w:r>
    </w:p>
  </w:endnote>
  <w:endnote w:type="continuationSeparator" w:id="0">
    <w:p w14:paraId="0E7C9D68" w14:textId="77777777" w:rsidR="00AE557B" w:rsidRDefault="00AE5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AC1F" w14:textId="77777777" w:rsidR="00F93B83" w:rsidRDefault="00000000">
    <w:pPr>
      <w:pBdr>
        <w:top w:val="single" w:sz="4" w:space="0" w:color="1A3C6E"/>
      </w:pBdr>
      <w:spacing w:before="80"/>
      <w:jc w:val="center"/>
    </w:pP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FE51CB">
      <w:rPr>
        <w:rFonts w:ascii="Arial" w:eastAsia="Arial" w:hAnsi="Arial" w:cs="Arial"/>
        <w:noProof/>
        <w:color w:val="555555"/>
        <w:sz w:val="18"/>
        <w:szCs w:val="18"/>
      </w:rPr>
      <w:t>1</w:t>
    </w:r>
    <w:r>
      <w:rPr>
        <w:rFonts w:ascii="Arial" w:eastAsia="Arial" w:hAnsi="Arial"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69815" w14:textId="77777777" w:rsidR="00AE557B" w:rsidRDefault="00AE557B">
      <w:r>
        <w:separator/>
      </w:r>
    </w:p>
  </w:footnote>
  <w:footnote w:type="continuationSeparator" w:id="0">
    <w:p w14:paraId="537C890A" w14:textId="77777777" w:rsidR="00AE557B" w:rsidRDefault="00AE5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53F6" w14:textId="77777777" w:rsidR="00F93B83" w:rsidRDefault="00000000">
    <w:pPr>
      <w:pBdr>
        <w:bottom w:val="single" w:sz="4" w:space="0" w:color="1A3C6E"/>
      </w:pBdr>
      <w:tabs>
        <w:tab w:val="right" w:pos="9360"/>
      </w:tabs>
      <w:spacing w:after="80"/>
    </w:pPr>
    <w:proofErr w:type="spellStart"/>
    <w:r>
      <w:rPr>
        <w:rFonts w:ascii="Arial" w:eastAsia="Arial" w:hAnsi="Arial" w:cs="Arial"/>
        <w:color w:val="555555"/>
        <w:sz w:val="18"/>
        <w:szCs w:val="18"/>
      </w:rPr>
      <w:t>PolicyShift</w:t>
    </w:r>
    <w:proofErr w:type="spellEnd"/>
    <w:r>
      <w:rPr>
        <w:rFonts w:ascii="Arial" w:eastAsia="Arial" w:hAnsi="Arial" w:cs="Arial"/>
        <w:color w:val="555555"/>
        <w:sz w:val="18"/>
        <w:szCs w:val="18"/>
      </w:rPr>
      <w:t>: Counterfactual Simulation for Public Health Policy</w:t>
    </w:r>
    <w:r>
      <w:rPr>
        <w:rFonts w:ascii="Arial" w:eastAsia="Arial" w:hAnsi="Arial" w:cs="Arial"/>
        <w:sz w:val="18"/>
        <w:szCs w:val="18"/>
      </w:rPr>
      <w:tab/>
    </w:r>
    <w:r>
      <w:rPr>
        <w:rFonts w:ascii="Arial" w:eastAsia="Arial" w:hAnsi="Arial" w:cs="Arial"/>
        <w:color w:val="555555"/>
        <w:sz w:val="18"/>
        <w:szCs w:val="18"/>
      </w:rPr>
      <w:t>Student Research Conference – ML &amp; AI Section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524"/>
    <w:multiLevelType w:val="hybridMultilevel"/>
    <w:tmpl w:val="AF9EC396"/>
    <w:lvl w:ilvl="0" w:tplc="E6EA3A96">
      <w:start w:val="1"/>
      <w:numFmt w:val="bullet"/>
      <w:lvlText w:val="●"/>
      <w:lvlJc w:val="left"/>
      <w:pPr>
        <w:ind w:left="720" w:hanging="360"/>
      </w:pPr>
    </w:lvl>
    <w:lvl w:ilvl="1" w:tplc="DC62248A">
      <w:start w:val="1"/>
      <w:numFmt w:val="bullet"/>
      <w:lvlText w:val="○"/>
      <w:lvlJc w:val="left"/>
      <w:pPr>
        <w:ind w:left="1440" w:hanging="360"/>
      </w:pPr>
    </w:lvl>
    <w:lvl w:ilvl="2" w:tplc="30EAEF7E">
      <w:start w:val="1"/>
      <w:numFmt w:val="bullet"/>
      <w:lvlText w:val="■"/>
      <w:lvlJc w:val="left"/>
      <w:pPr>
        <w:ind w:left="2160" w:hanging="360"/>
      </w:pPr>
    </w:lvl>
    <w:lvl w:ilvl="3" w:tplc="4AA62488">
      <w:start w:val="1"/>
      <w:numFmt w:val="bullet"/>
      <w:lvlText w:val="●"/>
      <w:lvlJc w:val="left"/>
      <w:pPr>
        <w:ind w:left="2880" w:hanging="360"/>
      </w:pPr>
    </w:lvl>
    <w:lvl w:ilvl="4" w:tplc="C9B85516">
      <w:start w:val="1"/>
      <w:numFmt w:val="bullet"/>
      <w:lvlText w:val="○"/>
      <w:lvlJc w:val="left"/>
      <w:pPr>
        <w:ind w:left="3600" w:hanging="360"/>
      </w:pPr>
    </w:lvl>
    <w:lvl w:ilvl="5" w:tplc="B1A24316">
      <w:start w:val="1"/>
      <w:numFmt w:val="bullet"/>
      <w:lvlText w:val="■"/>
      <w:lvlJc w:val="left"/>
      <w:pPr>
        <w:ind w:left="4320" w:hanging="360"/>
      </w:pPr>
    </w:lvl>
    <w:lvl w:ilvl="6" w:tplc="2C1812CE">
      <w:start w:val="1"/>
      <w:numFmt w:val="bullet"/>
      <w:lvlText w:val="●"/>
      <w:lvlJc w:val="left"/>
      <w:pPr>
        <w:ind w:left="5040" w:hanging="360"/>
      </w:pPr>
    </w:lvl>
    <w:lvl w:ilvl="7" w:tplc="BD2E1918">
      <w:start w:val="1"/>
      <w:numFmt w:val="bullet"/>
      <w:lvlText w:val="●"/>
      <w:lvlJc w:val="left"/>
      <w:pPr>
        <w:ind w:left="5760" w:hanging="360"/>
      </w:pPr>
    </w:lvl>
    <w:lvl w:ilvl="8" w:tplc="0988E050">
      <w:start w:val="1"/>
      <w:numFmt w:val="bullet"/>
      <w:lvlText w:val="●"/>
      <w:lvlJc w:val="left"/>
      <w:pPr>
        <w:ind w:left="6480" w:hanging="360"/>
      </w:pPr>
    </w:lvl>
  </w:abstractNum>
  <w:abstractNum w:abstractNumId="1" w15:restartNumberingAfterBreak="0">
    <w:nsid w:val="03446CFB"/>
    <w:multiLevelType w:val="hybridMultilevel"/>
    <w:tmpl w:val="6E88B8F2"/>
    <w:lvl w:ilvl="0" w:tplc="BD18F7EE">
      <w:start w:val="1"/>
      <w:numFmt w:val="bullet"/>
      <w:lvlText w:val="•"/>
      <w:lvlJc w:val="left"/>
      <w:pPr>
        <w:spacing w:before="60" w:after="60"/>
        <w:ind w:left="720" w:hanging="360"/>
      </w:pPr>
    </w:lvl>
    <w:lvl w:ilvl="1" w:tplc="2A926E34">
      <w:numFmt w:val="decimal"/>
      <w:lvlText w:val=""/>
      <w:lvlJc w:val="left"/>
    </w:lvl>
    <w:lvl w:ilvl="2" w:tplc="50BA63E0">
      <w:numFmt w:val="decimal"/>
      <w:lvlText w:val=""/>
      <w:lvlJc w:val="left"/>
    </w:lvl>
    <w:lvl w:ilvl="3" w:tplc="E9260224">
      <w:numFmt w:val="decimal"/>
      <w:lvlText w:val=""/>
      <w:lvlJc w:val="left"/>
    </w:lvl>
    <w:lvl w:ilvl="4" w:tplc="78CA3BDC">
      <w:numFmt w:val="decimal"/>
      <w:lvlText w:val=""/>
      <w:lvlJc w:val="left"/>
    </w:lvl>
    <w:lvl w:ilvl="5" w:tplc="F2C65E8A">
      <w:numFmt w:val="decimal"/>
      <w:lvlText w:val=""/>
      <w:lvlJc w:val="left"/>
    </w:lvl>
    <w:lvl w:ilvl="6" w:tplc="509E2868">
      <w:numFmt w:val="decimal"/>
      <w:lvlText w:val=""/>
      <w:lvlJc w:val="left"/>
    </w:lvl>
    <w:lvl w:ilvl="7" w:tplc="881C3994">
      <w:numFmt w:val="decimal"/>
      <w:lvlText w:val=""/>
      <w:lvlJc w:val="left"/>
    </w:lvl>
    <w:lvl w:ilvl="8" w:tplc="3C90A920">
      <w:numFmt w:val="decimal"/>
      <w:lvlText w:val=""/>
      <w:lvlJc w:val="left"/>
    </w:lvl>
  </w:abstractNum>
  <w:num w:numId="1" w16cid:durableId="606618603">
    <w:abstractNumId w:val="0"/>
    <w:lvlOverride w:ilvl="0">
      <w:startOverride w:val="1"/>
    </w:lvlOverride>
  </w:num>
  <w:num w:numId="2" w16cid:durableId="6893332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B83"/>
    <w:rsid w:val="00AE557B"/>
    <w:rsid w:val="00B84FF7"/>
    <w:rsid w:val="00F93B83"/>
    <w:rsid w:val="00FE5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0503"/>
  <w15:docId w15:val="{155BA80D-CC85-47A4-9311-19006A7C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Arial" w:eastAsia="Arial" w:hAnsi="Arial" w:cs="Arial"/>
      <w:b/>
      <w:bCs/>
      <w:color w:val="1A3C6E"/>
      <w:sz w:val="26"/>
      <w:szCs w:val="26"/>
    </w:rPr>
  </w:style>
  <w:style w:type="paragraph" w:styleId="Heading2">
    <w:name w:val="heading 2"/>
    <w:uiPriority w:val="9"/>
    <w:unhideWhenUsed/>
    <w:qFormat/>
    <w:pPr>
      <w:spacing w:before="200" w:after="80"/>
      <w:outlineLvl w:val="1"/>
    </w:pPr>
    <w:rPr>
      <w:rFonts w:ascii="Arial" w:eastAsia="Arial" w:hAnsi="Arial" w:cs="Arial"/>
      <w:b/>
      <w:bCs/>
      <w:color w:val="1A3C6E"/>
      <w:sz w:val="24"/>
      <w:szCs w:val="24"/>
    </w:rPr>
  </w:style>
  <w:style w:type="paragraph" w:styleId="Heading3">
    <w:name w:val="heading 3"/>
    <w:uiPriority w:val="9"/>
    <w:semiHidden/>
    <w:unhideWhenUsed/>
    <w:qFormat/>
    <w:pPr>
      <w:spacing w:before="160" w:after="60"/>
      <w:outlineLvl w:val="2"/>
    </w:pPr>
    <w:rPr>
      <w:rFonts w:ascii="Arial" w:eastAsia="Arial" w:hAnsi="Arial" w:cs="Arial"/>
      <w:b/>
      <w:bCs/>
      <w:i/>
      <w:i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alek.shinyapps.io/policyshif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3905</Words>
  <Characters>22259</Characters>
  <Application>Microsoft Office Word</Application>
  <DocSecurity>0</DocSecurity>
  <Lines>185</Lines>
  <Paragraphs>52</Paragraphs>
  <ScaleCrop>false</ScaleCrop>
  <Company/>
  <LinksUpToDate>false</LinksUpToDate>
  <CharactersWithSpaces>26112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Salek</cp:lastModifiedBy>
  <cp:revision>2</cp:revision>
  <dcterms:created xsi:type="dcterms:W3CDTF">2026-06-01T16:07:00Z</dcterms:created>
  <dcterms:modified xsi:type="dcterms:W3CDTF">2026-07-01T08:10:00Z</dcterms:modified>
</cp:coreProperties>
</file>