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05B0" w14:textId="77777777" w:rsidR="003241FF" w:rsidRDefault="00AB23D9">
      <w:pPr>
        <w:spacing w:after="418" w:line="259" w:lineRule="auto"/>
        <w:ind w:left="15" w:right="0" w:firstLine="0"/>
      </w:pPr>
      <w:r>
        <w:t xml:space="preserve">  </w:t>
      </w:r>
    </w:p>
    <w:p w14:paraId="267B14E5" w14:textId="77777777" w:rsidR="003241FF" w:rsidRDefault="00AB23D9">
      <w:pPr>
        <w:spacing w:after="194" w:line="259" w:lineRule="auto"/>
        <w:ind w:left="736" w:right="0" w:firstLine="0"/>
      </w:pPr>
      <w:r>
        <w:rPr>
          <w:b/>
        </w:rPr>
        <w:t xml:space="preserve">              </w:t>
      </w:r>
      <w:r>
        <w:rPr>
          <w:b/>
          <w:sz w:val="32"/>
        </w:rPr>
        <w:t xml:space="preserve">Global Urban AQI Data Science Project </w:t>
      </w:r>
      <w:r>
        <w:t xml:space="preserve"> </w:t>
      </w:r>
    </w:p>
    <w:p w14:paraId="5ADD5481" w14:textId="77777777" w:rsidR="003241FF" w:rsidRDefault="00AB23D9">
      <w:pPr>
        <w:spacing w:after="85" w:line="259" w:lineRule="auto"/>
        <w:ind w:left="736" w:right="0" w:firstLine="0"/>
      </w:pPr>
      <w:r>
        <w:rPr>
          <w:b/>
          <w:sz w:val="32"/>
        </w:rPr>
        <w:t xml:space="preserve"> </w:t>
      </w:r>
      <w:r>
        <w:t xml:space="preserve"> </w:t>
      </w:r>
    </w:p>
    <w:p w14:paraId="77FFC55B" w14:textId="471FE612" w:rsidR="003241FF" w:rsidRDefault="00AB23D9">
      <w:pPr>
        <w:numPr>
          <w:ilvl w:val="0"/>
          <w:numId w:val="1"/>
        </w:numPr>
        <w:spacing w:after="6" w:line="259" w:lineRule="auto"/>
        <w:ind w:right="0" w:hanging="360"/>
      </w:pPr>
      <w:r>
        <w:rPr>
          <w:b/>
        </w:rPr>
        <w:t>Student Name:</w:t>
      </w:r>
      <w:r>
        <w:t xml:space="preserve"> </w:t>
      </w:r>
      <w:r w:rsidR="00FF1A46">
        <w:t>Osama Ikram</w:t>
      </w:r>
    </w:p>
    <w:p w14:paraId="2A4334DD" w14:textId="28CD7A98" w:rsidR="003241FF" w:rsidRDefault="00AB23D9">
      <w:pPr>
        <w:numPr>
          <w:ilvl w:val="0"/>
          <w:numId w:val="1"/>
        </w:numPr>
        <w:spacing w:after="6" w:line="259" w:lineRule="auto"/>
        <w:ind w:right="0" w:hanging="360"/>
      </w:pPr>
      <w:r>
        <w:rPr>
          <w:b/>
        </w:rPr>
        <w:t>Registration Number:</w:t>
      </w:r>
      <w:r>
        <w:t xml:space="preserve"> 2280</w:t>
      </w:r>
      <w:r w:rsidR="00157B0C">
        <w:t>1</w:t>
      </w:r>
      <w:r w:rsidR="00FF1A46">
        <w:t>21</w:t>
      </w:r>
    </w:p>
    <w:p w14:paraId="1A511AAB" w14:textId="171C9C10" w:rsidR="00FF1A46" w:rsidRDefault="00AB23D9">
      <w:pPr>
        <w:numPr>
          <w:ilvl w:val="0"/>
          <w:numId w:val="1"/>
        </w:numPr>
        <w:spacing w:after="254" w:line="260" w:lineRule="auto"/>
        <w:ind w:right="0" w:hanging="360"/>
      </w:pPr>
      <w:r>
        <w:rPr>
          <w:b/>
        </w:rPr>
        <w:t>GitHub Repository Link:</w:t>
      </w:r>
      <w:r>
        <w:t xml:space="preserve"> [DS Project Repository]</w:t>
      </w:r>
      <w:r w:rsidR="00FF1A46">
        <w:t xml:space="preserve"> ( </w:t>
      </w:r>
      <w:hyperlink r:id="rId7" w:history="1">
        <w:r w:rsidR="00FF1A46" w:rsidRPr="000C14AE">
          <w:rPr>
            <w:rStyle w:val="Hyperlink"/>
          </w:rPr>
          <w:t>https://github.com/usamakhanjan11-ship-it/AQI-Project.git</w:t>
        </w:r>
      </w:hyperlink>
      <w:r w:rsidR="00FF1A46">
        <w:t xml:space="preserve"> )</w:t>
      </w:r>
    </w:p>
    <w:p w14:paraId="6F4FBF0D" w14:textId="092F10AF" w:rsidR="003241FF" w:rsidRDefault="003241FF" w:rsidP="00FF1A46">
      <w:pPr>
        <w:spacing w:after="254" w:line="260" w:lineRule="auto"/>
        <w:ind w:right="0"/>
      </w:pPr>
    </w:p>
    <w:p w14:paraId="61613B79" w14:textId="77777777" w:rsidR="003241FF" w:rsidRDefault="00AB23D9">
      <w:pPr>
        <w:spacing w:after="330" w:line="259" w:lineRule="auto"/>
        <w:ind w:left="736" w:right="0" w:firstLine="0"/>
      </w:pPr>
      <w:r>
        <w:t xml:space="preserve">  </w:t>
      </w:r>
    </w:p>
    <w:p w14:paraId="6A33846B" w14:textId="77777777" w:rsidR="003241FF" w:rsidRDefault="00AB23D9">
      <w:pPr>
        <w:pStyle w:val="Heading1"/>
        <w:ind w:left="-5"/>
      </w:pPr>
      <w:r>
        <w:t xml:space="preserve">1. Introduction  </w:t>
      </w:r>
    </w:p>
    <w:p w14:paraId="556BF98D" w14:textId="77777777" w:rsidR="003241FF" w:rsidRDefault="00AB23D9">
      <w:pPr>
        <w:spacing w:after="268"/>
        <w:ind w:right="935"/>
      </w:pPr>
      <w:r>
        <w:t xml:space="preserve">Air pollution is a critical global issue, and the Air Quality Index (AQI) provides a standardized measure of air quality. This project applies data science methods to analyze AQI data, visualize pollution patterns, and build predictive models.  </w:t>
      </w:r>
    </w:p>
    <w:p w14:paraId="2A5179A7" w14:textId="77777777" w:rsidR="003241FF" w:rsidRDefault="00AB23D9">
      <w:pPr>
        <w:spacing w:after="330" w:line="259" w:lineRule="auto"/>
        <w:ind w:left="15" w:right="0" w:firstLine="0"/>
      </w:pPr>
      <w:r>
        <w:t xml:space="preserve">  </w:t>
      </w:r>
    </w:p>
    <w:p w14:paraId="12B4D6EF" w14:textId="77777777" w:rsidR="003241FF" w:rsidRDefault="00AB23D9">
      <w:pPr>
        <w:pStyle w:val="Heading1"/>
        <w:ind w:left="-5"/>
      </w:pPr>
      <w:r>
        <w:t xml:space="preserve">2. Dataset Description  </w:t>
      </w:r>
    </w:p>
    <w:p w14:paraId="3EA64B71" w14:textId="77777777" w:rsidR="003241FF" w:rsidRDefault="00AB23D9">
      <w:pPr>
        <w:numPr>
          <w:ilvl w:val="0"/>
          <w:numId w:val="2"/>
        </w:numPr>
        <w:spacing w:after="261" w:line="259" w:lineRule="auto"/>
        <w:ind w:right="0" w:hanging="360"/>
      </w:pPr>
      <w:r>
        <w:rPr>
          <w:b/>
        </w:rPr>
        <w:t>Dataset:</w:t>
      </w:r>
      <w:r>
        <w:t xml:space="preserve">   </w:t>
      </w:r>
    </w:p>
    <w:p w14:paraId="0CA905DF" w14:textId="77777777" w:rsidR="003241FF" w:rsidRDefault="00AB23D9">
      <w:pPr>
        <w:spacing w:after="266"/>
        <w:ind w:left="366" w:right="935"/>
      </w:pPr>
      <w:r>
        <w:t xml:space="preserve">     Global Urban AQI Dataset  </w:t>
      </w:r>
    </w:p>
    <w:p w14:paraId="4B52EAFE" w14:textId="77777777" w:rsidR="003241FF" w:rsidRDefault="00AB23D9">
      <w:pPr>
        <w:numPr>
          <w:ilvl w:val="0"/>
          <w:numId w:val="2"/>
        </w:numPr>
        <w:spacing w:after="256" w:line="259" w:lineRule="auto"/>
        <w:ind w:right="0" w:hanging="360"/>
      </w:pPr>
      <w:r>
        <w:rPr>
          <w:b/>
        </w:rPr>
        <w:t>Features:</w:t>
      </w:r>
      <w:r>
        <w:t xml:space="preserve">  </w:t>
      </w:r>
    </w:p>
    <w:p w14:paraId="470DE7D7" w14:textId="77777777" w:rsidR="003241FF" w:rsidRDefault="00AB23D9">
      <w:pPr>
        <w:spacing w:after="267"/>
        <w:ind w:left="746" w:right="935"/>
      </w:pPr>
      <w:r>
        <w:t xml:space="preserve">AQI, PM2.5, PM10, CO, NO2, O3, SO2, Temperature, Humidity, Wind Speed, Date, City, Country.  </w:t>
      </w:r>
    </w:p>
    <w:p w14:paraId="7B840D93" w14:textId="77777777" w:rsidR="003241FF" w:rsidRDefault="00AB23D9">
      <w:pPr>
        <w:numPr>
          <w:ilvl w:val="0"/>
          <w:numId w:val="2"/>
        </w:numPr>
        <w:spacing w:line="485" w:lineRule="auto"/>
        <w:ind w:right="0" w:hanging="360"/>
      </w:pPr>
      <w:r>
        <w:rPr>
          <w:b/>
        </w:rPr>
        <w:t>Period:</w:t>
      </w:r>
      <w:r>
        <w:t xml:space="preserve">  </w:t>
      </w:r>
      <w:r>
        <w:rPr>
          <w:b/>
        </w:rPr>
        <w:t xml:space="preserve">     </w:t>
      </w:r>
      <w:r>
        <w:t xml:space="preserve"> 2015–2025  </w:t>
      </w:r>
    </w:p>
    <w:p w14:paraId="1409C4E1" w14:textId="77777777" w:rsidR="003241FF" w:rsidRDefault="00AB23D9">
      <w:pPr>
        <w:numPr>
          <w:ilvl w:val="0"/>
          <w:numId w:val="2"/>
        </w:numPr>
        <w:spacing w:after="254" w:line="259" w:lineRule="auto"/>
        <w:ind w:right="0" w:hanging="360"/>
      </w:pPr>
      <w:r>
        <w:rPr>
          <w:b/>
        </w:rPr>
        <w:t>Size:</w:t>
      </w:r>
      <w:r>
        <w:t xml:space="preserve">  </w:t>
      </w:r>
    </w:p>
    <w:p w14:paraId="55D2A49C" w14:textId="77777777" w:rsidR="003241FF" w:rsidRDefault="00AB23D9">
      <w:pPr>
        <w:spacing w:after="313" w:line="259" w:lineRule="auto"/>
        <w:ind w:left="15" w:right="0" w:firstLine="0"/>
      </w:pPr>
      <w:r>
        <w:rPr>
          <w:b/>
        </w:rPr>
        <w:t xml:space="preserve">            </w:t>
      </w:r>
      <w:r>
        <w:rPr>
          <w:rFonts w:ascii="Consolas" w:eastAsia="Consolas" w:hAnsi="Consolas" w:cs="Consolas"/>
          <w:sz w:val="22"/>
        </w:rPr>
        <w:t>3660 rows × 13 columns</w:t>
      </w:r>
      <w:r>
        <w:t xml:space="preserve">  </w:t>
      </w:r>
    </w:p>
    <w:p w14:paraId="0D01C958" w14:textId="77777777" w:rsidR="003241FF" w:rsidRDefault="00AB23D9">
      <w:pPr>
        <w:spacing w:after="244" w:line="259" w:lineRule="auto"/>
        <w:ind w:left="736" w:right="0" w:firstLine="0"/>
      </w:pPr>
      <w:r>
        <w:rPr>
          <w:sz w:val="28"/>
        </w:rPr>
        <w:t xml:space="preserve"> </w:t>
      </w:r>
      <w:r>
        <w:t xml:space="preserve"> </w:t>
      </w:r>
    </w:p>
    <w:p w14:paraId="1895F230" w14:textId="77777777" w:rsidR="003241FF" w:rsidRDefault="00AB23D9">
      <w:pPr>
        <w:pStyle w:val="Heading1"/>
        <w:ind w:left="-5"/>
      </w:pPr>
      <w:r>
        <w:t xml:space="preserve">3. Data Cleaning Steps  </w:t>
      </w:r>
    </w:p>
    <w:p w14:paraId="4B78DE46" w14:textId="77777777" w:rsidR="003241FF" w:rsidRDefault="00AB23D9">
      <w:pPr>
        <w:numPr>
          <w:ilvl w:val="0"/>
          <w:numId w:val="3"/>
        </w:numPr>
        <w:ind w:right="935" w:hanging="360"/>
      </w:pPr>
      <w:r>
        <w:t xml:space="preserve">Converted </w:t>
      </w:r>
      <w:r>
        <w:rPr>
          <w:rFonts w:ascii="Courier New" w:eastAsia="Courier New" w:hAnsi="Courier New" w:cs="Courier New"/>
        </w:rPr>
        <w:t>Date</w:t>
      </w:r>
      <w:r>
        <w:t xml:space="preserve"> to datetime and extracted </w:t>
      </w:r>
      <w:r>
        <w:rPr>
          <w:rFonts w:ascii="Courier New" w:eastAsia="Courier New" w:hAnsi="Courier New" w:cs="Courier New"/>
        </w:rPr>
        <w:t>Year</w:t>
      </w:r>
      <w:r>
        <w:t xml:space="preserve">.  </w:t>
      </w:r>
    </w:p>
    <w:p w14:paraId="76F3FE2A" w14:textId="77777777" w:rsidR="003241FF" w:rsidRDefault="00AB23D9">
      <w:pPr>
        <w:numPr>
          <w:ilvl w:val="0"/>
          <w:numId w:val="3"/>
        </w:numPr>
        <w:ind w:right="935" w:hanging="360"/>
      </w:pPr>
      <w:r>
        <w:t xml:space="preserve">Handled missing values using median imputation.  </w:t>
      </w:r>
    </w:p>
    <w:p w14:paraId="096A9031" w14:textId="77777777" w:rsidR="003241FF" w:rsidRDefault="00AB23D9">
      <w:pPr>
        <w:numPr>
          <w:ilvl w:val="0"/>
          <w:numId w:val="3"/>
        </w:numPr>
        <w:ind w:right="935" w:hanging="360"/>
      </w:pPr>
      <w:r>
        <w:t xml:space="preserve">Removed duplicates and invalid AQI entries.  </w:t>
      </w:r>
    </w:p>
    <w:p w14:paraId="582A4FBD" w14:textId="77777777" w:rsidR="003241FF" w:rsidRDefault="00AB23D9">
      <w:pPr>
        <w:numPr>
          <w:ilvl w:val="0"/>
          <w:numId w:val="3"/>
        </w:numPr>
        <w:spacing w:after="318"/>
        <w:ind w:right="935" w:hanging="360"/>
      </w:pPr>
      <w:r>
        <w:t xml:space="preserve">Scaled features using </w:t>
      </w:r>
      <w:r>
        <w:rPr>
          <w:rFonts w:ascii="Courier New" w:eastAsia="Courier New" w:hAnsi="Courier New" w:cs="Courier New"/>
        </w:rPr>
        <w:t>StandardScaler</w:t>
      </w:r>
      <w:r>
        <w:t xml:space="preserve">.  </w:t>
      </w:r>
    </w:p>
    <w:p w14:paraId="6A41D861" w14:textId="77777777" w:rsidR="003241FF" w:rsidRDefault="00AB23D9">
      <w:pPr>
        <w:spacing w:after="330" w:line="259" w:lineRule="auto"/>
        <w:ind w:left="15" w:right="0" w:firstLine="0"/>
      </w:pPr>
      <w:r>
        <w:t xml:space="preserve">  </w:t>
      </w:r>
    </w:p>
    <w:p w14:paraId="7B16EF74" w14:textId="77777777" w:rsidR="003241FF" w:rsidRDefault="00AB23D9">
      <w:pPr>
        <w:pStyle w:val="Heading1"/>
        <w:ind w:left="-5"/>
      </w:pPr>
      <w:r>
        <w:t xml:space="preserve">4. Basic Statistics   </w:t>
      </w:r>
    </w:p>
    <w:p w14:paraId="39ED3CC3" w14:textId="77777777" w:rsidR="003241FF" w:rsidRDefault="00AB23D9">
      <w:pPr>
        <w:numPr>
          <w:ilvl w:val="0"/>
          <w:numId w:val="4"/>
        </w:numPr>
        <w:spacing w:after="6" w:line="259" w:lineRule="auto"/>
        <w:ind w:right="0" w:hanging="360"/>
      </w:pPr>
      <w:r>
        <w:rPr>
          <w:b/>
        </w:rPr>
        <w:t>Mean AQI:</w:t>
      </w:r>
      <w:r>
        <w:t xml:space="preserve"> 164.64  </w:t>
      </w:r>
    </w:p>
    <w:p w14:paraId="5D40D5D6" w14:textId="77777777" w:rsidR="003241FF" w:rsidRDefault="00AB23D9">
      <w:pPr>
        <w:numPr>
          <w:ilvl w:val="0"/>
          <w:numId w:val="4"/>
        </w:numPr>
        <w:spacing w:after="6" w:line="259" w:lineRule="auto"/>
        <w:ind w:right="0" w:hanging="360"/>
      </w:pPr>
      <w:r>
        <w:rPr>
          <w:b/>
        </w:rPr>
        <w:t>Minimum AQI:</w:t>
      </w:r>
      <w:r>
        <w:t xml:space="preserve"> 30  </w:t>
      </w:r>
    </w:p>
    <w:p w14:paraId="1B585A25" w14:textId="77777777" w:rsidR="003241FF" w:rsidRDefault="00AB23D9">
      <w:pPr>
        <w:numPr>
          <w:ilvl w:val="0"/>
          <w:numId w:val="4"/>
        </w:numPr>
        <w:spacing w:after="6" w:line="259" w:lineRule="auto"/>
        <w:ind w:right="0" w:hanging="360"/>
      </w:pPr>
      <w:r>
        <w:rPr>
          <w:b/>
        </w:rPr>
        <w:t>Maximum AQI:</w:t>
      </w:r>
      <w:r>
        <w:t xml:space="preserve"> 300  </w:t>
      </w:r>
    </w:p>
    <w:p w14:paraId="27870A65" w14:textId="77777777" w:rsidR="003241FF" w:rsidRDefault="00AB23D9">
      <w:pPr>
        <w:numPr>
          <w:ilvl w:val="0"/>
          <w:numId w:val="4"/>
        </w:numPr>
        <w:spacing w:after="6" w:line="259" w:lineRule="auto"/>
        <w:ind w:right="0" w:hanging="360"/>
      </w:pPr>
      <w:r>
        <w:rPr>
          <w:b/>
        </w:rPr>
        <w:t>Standard Deviation of AQI:</w:t>
      </w:r>
      <w:r>
        <w:t xml:space="preserve"> 78.57  </w:t>
      </w:r>
    </w:p>
    <w:p w14:paraId="02A68D14" w14:textId="77777777" w:rsidR="003241FF" w:rsidRDefault="00AB23D9">
      <w:pPr>
        <w:numPr>
          <w:ilvl w:val="0"/>
          <w:numId w:val="4"/>
        </w:numPr>
        <w:ind w:right="0" w:hanging="360"/>
      </w:pPr>
      <w:r>
        <w:rPr>
          <w:b/>
        </w:rPr>
        <w:t>Highest AQI Country:</w:t>
      </w:r>
      <w:r>
        <w:t xml:space="preserve"> India (avg AQI = 170.6)  </w:t>
      </w:r>
    </w:p>
    <w:p w14:paraId="4A7ED736" w14:textId="77777777" w:rsidR="003241FF" w:rsidRDefault="00AB23D9">
      <w:pPr>
        <w:numPr>
          <w:ilvl w:val="0"/>
          <w:numId w:val="4"/>
        </w:numPr>
        <w:spacing w:after="261"/>
        <w:ind w:right="0" w:hanging="360"/>
      </w:pPr>
      <w:r>
        <w:rPr>
          <w:b/>
        </w:rPr>
        <w:t>Lowest AQI Country:</w:t>
      </w:r>
      <w:r>
        <w:t xml:space="preserve"> Australia (avg AQI = 159.6)  </w:t>
      </w:r>
    </w:p>
    <w:p w14:paraId="7F130D21" w14:textId="77777777" w:rsidR="003241FF" w:rsidRDefault="00AB23D9">
      <w:pPr>
        <w:spacing w:after="326" w:line="259" w:lineRule="auto"/>
        <w:ind w:left="736" w:right="0" w:firstLine="0"/>
      </w:pPr>
      <w:r>
        <w:t xml:space="preserve">  </w:t>
      </w:r>
    </w:p>
    <w:p w14:paraId="18EBAC04" w14:textId="77777777" w:rsidR="003241FF" w:rsidRDefault="00AB23D9">
      <w:pPr>
        <w:pStyle w:val="Heading1"/>
        <w:spacing w:after="274"/>
        <w:ind w:left="-5"/>
      </w:pPr>
      <w:r>
        <w:t xml:space="preserve">5. Exploratory Data Analysis (Charts) </w:t>
      </w:r>
      <w:r>
        <w:rPr>
          <w:rFonts w:ascii="Segoe UI Symbol" w:eastAsia="Segoe UI Symbol" w:hAnsi="Segoe UI Symbol" w:cs="Segoe UI Symbol"/>
          <w:b w:val="0"/>
          <w:sz w:val="20"/>
        </w:rPr>
        <w:t>•</w:t>
      </w:r>
      <w:r>
        <w:rPr>
          <w:rFonts w:ascii="Arial" w:eastAsia="Arial" w:hAnsi="Arial" w:cs="Arial"/>
          <w:b w:val="0"/>
          <w:sz w:val="20"/>
        </w:rPr>
        <w:t xml:space="preserve"> </w:t>
      </w:r>
    </w:p>
    <w:p w14:paraId="2432E70D" w14:textId="77777777" w:rsidR="003241FF" w:rsidRDefault="00AB23D9">
      <w:pPr>
        <w:spacing w:after="200" w:line="259" w:lineRule="auto"/>
        <w:ind w:left="356" w:right="0"/>
      </w:pPr>
      <w:r>
        <w:rPr>
          <w:b/>
        </w:rPr>
        <w:t>AQI Category Distribution:</w:t>
      </w:r>
      <w:r>
        <w:t xml:space="preserve">  </w:t>
      </w:r>
    </w:p>
    <w:p w14:paraId="4FD6B025" w14:textId="77777777" w:rsidR="003241FF" w:rsidRDefault="00AB23D9">
      <w:pPr>
        <w:spacing w:after="155" w:line="259" w:lineRule="auto"/>
        <w:ind w:left="0" w:right="361" w:firstLine="0"/>
        <w:jc w:val="right"/>
      </w:pPr>
      <w:r>
        <w:rPr>
          <w:noProof/>
        </w:rPr>
        <w:drawing>
          <wp:inline distT="0" distB="0" distL="0" distR="0" wp14:anchorId="485F4ADD" wp14:editId="0AC7DD93">
            <wp:extent cx="5943600" cy="242951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8"/>
                    <a:stretch>
                      <a:fillRect/>
                    </a:stretch>
                  </pic:blipFill>
                  <pic:spPr>
                    <a:xfrm>
                      <a:off x="0" y="0"/>
                      <a:ext cx="5943600" cy="2429510"/>
                    </a:xfrm>
                    <a:prstGeom prst="rect">
                      <a:avLst/>
                    </a:prstGeom>
                  </pic:spPr>
                </pic:pic>
              </a:graphicData>
            </a:graphic>
          </wp:inline>
        </w:drawing>
      </w:r>
      <w:r>
        <w:t xml:space="preserve">  </w:t>
      </w:r>
    </w:p>
    <w:p w14:paraId="7A304DC9" w14:textId="77777777" w:rsidR="003241FF" w:rsidRDefault="00AB23D9">
      <w:pPr>
        <w:spacing w:after="255" w:line="259" w:lineRule="auto"/>
        <w:ind w:left="15" w:right="0" w:firstLine="0"/>
      </w:pPr>
      <w:r>
        <w:t xml:space="preserve">  </w:t>
      </w:r>
    </w:p>
    <w:p w14:paraId="2A2509C3" w14:textId="77777777" w:rsidR="003241FF" w:rsidRDefault="00AB23D9">
      <w:pPr>
        <w:spacing w:after="366"/>
        <w:ind w:right="935"/>
      </w:pPr>
      <w:r>
        <w:t xml:space="preserve">The bar chart shows the distribution of air quality categories across all 5,000 records. The 'Moderate' and 'Unhealthy for Sensitive Groups' categories dominate, together accounting for nearly two-thirds of all records. Very few records fall in 'Good' or 'Hazardous', indicating most sampled cities face moderate-to-serious air quality challenges. </w:t>
      </w:r>
      <w:r>
        <w:rPr>
          <w:rFonts w:ascii="Consolas" w:eastAsia="Consolas" w:hAnsi="Consolas" w:cs="Consolas"/>
          <w:sz w:val="20"/>
        </w:rPr>
        <w:t xml:space="preserve"> </w:t>
      </w:r>
      <w:r>
        <w:t xml:space="preserve"> </w:t>
      </w:r>
    </w:p>
    <w:p w14:paraId="69F44D56" w14:textId="77777777" w:rsidR="003241FF" w:rsidRDefault="00AB23D9">
      <w:pPr>
        <w:numPr>
          <w:ilvl w:val="0"/>
          <w:numId w:val="5"/>
        </w:numPr>
        <w:spacing w:after="6" w:line="259" w:lineRule="auto"/>
        <w:ind w:right="0" w:hanging="360"/>
      </w:pPr>
      <w:r>
        <w:rPr>
          <w:b/>
        </w:rPr>
        <w:t>Average AQI by Country:</w:t>
      </w:r>
      <w:r>
        <w:t xml:space="preserve">  </w:t>
      </w:r>
    </w:p>
    <w:p w14:paraId="5C47D1BA" w14:textId="77777777" w:rsidR="003241FF" w:rsidRDefault="00AB23D9">
      <w:pPr>
        <w:spacing w:after="150" w:line="259" w:lineRule="auto"/>
        <w:ind w:left="0" w:right="361" w:firstLine="0"/>
        <w:jc w:val="right"/>
      </w:pPr>
      <w:r>
        <w:rPr>
          <w:noProof/>
        </w:rPr>
        <w:drawing>
          <wp:inline distT="0" distB="0" distL="0" distR="0" wp14:anchorId="308C0959" wp14:editId="074F76F9">
            <wp:extent cx="5943600" cy="250825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9"/>
                    <a:stretch>
                      <a:fillRect/>
                    </a:stretch>
                  </pic:blipFill>
                  <pic:spPr>
                    <a:xfrm>
                      <a:off x="0" y="0"/>
                      <a:ext cx="5943600" cy="2508250"/>
                    </a:xfrm>
                    <a:prstGeom prst="rect">
                      <a:avLst/>
                    </a:prstGeom>
                  </pic:spPr>
                </pic:pic>
              </a:graphicData>
            </a:graphic>
          </wp:inline>
        </w:drawing>
      </w:r>
      <w:r>
        <w:t xml:space="preserve">  </w:t>
      </w:r>
    </w:p>
    <w:p w14:paraId="4A45C594" w14:textId="77777777" w:rsidR="003241FF" w:rsidRDefault="00AB23D9">
      <w:pPr>
        <w:ind w:right="935"/>
      </w:pPr>
      <w:r>
        <w:t xml:space="preserve">This visualization highlights the average AQI levels across selected countries.  </w:t>
      </w:r>
    </w:p>
    <w:p w14:paraId="71B9A604" w14:textId="77777777" w:rsidR="003241FF" w:rsidRDefault="00AB23D9">
      <w:pPr>
        <w:ind w:right="935"/>
      </w:pPr>
      <w:r>
        <w:t xml:space="preserve">India, Japan, and Brazil record the highest average AQI values, consistently exceeding the Unhealthy threshold of 150.  </w:t>
      </w:r>
    </w:p>
    <w:p w14:paraId="7A22CCD4" w14:textId="77777777" w:rsidR="003241FF" w:rsidRDefault="00AB23D9">
      <w:pPr>
        <w:ind w:right="935"/>
      </w:pPr>
      <w:r>
        <w:t xml:space="preserve">Egypt and China also show elevated pollution levels.   </w:t>
      </w:r>
    </w:p>
    <w:p w14:paraId="2418D814" w14:textId="77777777" w:rsidR="003241FF" w:rsidRDefault="00AB23D9">
      <w:pPr>
        <w:ind w:right="935"/>
      </w:pPr>
      <w:r>
        <w:t xml:space="preserve">In contrast, countries such as Australia and the USA maintain comparatively lower AQI values,  often near or below the Unhealthy threshold.   </w:t>
      </w:r>
    </w:p>
    <w:p w14:paraId="682642DE" w14:textId="77777777" w:rsidR="003241FF" w:rsidRDefault="00AB23D9">
      <w:pPr>
        <w:spacing w:after="372"/>
        <w:ind w:right="935"/>
      </w:pPr>
      <w:r>
        <w:t xml:space="preserve">The dashed threshold lines emphasize which countries cross into health-risk categories, making  it clear that South Asian and Latin American regions face greater air quality challenges compare d to developed nations with stricter environmental controls.  </w:t>
      </w:r>
    </w:p>
    <w:p w14:paraId="1EE0230E" w14:textId="77777777" w:rsidR="003241FF" w:rsidRDefault="00AB23D9">
      <w:pPr>
        <w:spacing w:after="104" w:line="259" w:lineRule="auto"/>
        <w:ind w:left="15" w:right="0" w:firstLine="0"/>
      </w:pPr>
      <w:r>
        <w:rPr>
          <w:sz w:val="32"/>
        </w:rPr>
        <w:t xml:space="preserve"> </w:t>
      </w:r>
      <w:r>
        <w:t xml:space="preserve"> </w:t>
      </w:r>
    </w:p>
    <w:p w14:paraId="17AD92DA" w14:textId="77777777" w:rsidR="003241FF" w:rsidRDefault="00AB23D9">
      <w:pPr>
        <w:numPr>
          <w:ilvl w:val="0"/>
          <w:numId w:val="5"/>
        </w:numPr>
        <w:spacing w:after="190" w:line="259" w:lineRule="auto"/>
        <w:ind w:right="0" w:hanging="360"/>
      </w:pPr>
      <w:r>
        <w:rPr>
          <w:b/>
        </w:rPr>
        <w:t>AQI Trend by Year:</w:t>
      </w:r>
      <w:r>
        <w:t xml:space="preserve">   </w:t>
      </w:r>
    </w:p>
    <w:p w14:paraId="78E76299" w14:textId="77777777" w:rsidR="003241FF" w:rsidRDefault="00AB23D9">
      <w:pPr>
        <w:spacing w:after="0" w:line="259" w:lineRule="auto"/>
        <w:ind w:left="0" w:right="721" w:firstLine="0"/>
        <w:jc w:val="right"/>
      </w:pPr>
      <w:r>
        <w:rPr>
          <w:noProof/>
        </w:rPr>
        <w:drawing>
          <wp:inline distT="0" distB="0" distL="0" distR="0" wp14:anchorId="0E93E78E" wp14:editId="5B26F5CC">
            <wp:extent cx="5943600" cy="2653665"/>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0"/>
                    <a:stretch>
                      <a:fillRect/>
                    </a:stretch>
                  </pic:blipFill>
                  <pic:spPr>
                    <a:xfrm>
                      <a:off x="0" y="0"/>
                      <a:ext cx="5943600" cy="2653665"/>
                    </a:xfrm>
                    <a:prstGeom prst="rect">
                      <a:avLst/>
                    </a:prstGeom>
                  </pic:spPr>
                </pic:pic>
              </a:graphicData>
            </a:graphic>
          </wp:inline>
        </w:drawing>
      </w:r>
      <w:r>
        <w:t xml:space="preserve">  </w:t>
      </w:r>
    </w:p>
    <w:p w14:paraId="5FBE8AA1" w14:textId="77777777" w:rsidR="003241FF" w:rsidRDefault="00AB23D9">
      <w:pPr>
        <w:spacing w:after="263"/>
        <w:ind w:right="935"/>
      </w:pPr>
      <w:r>
        <w:t xml:space="preserve">This visualization shows the global average AQI trend from 2015 to 2025. The red line represent s the mean AQI for each year, while the shaded band indicates ±1 standard deviation, capturing v ariability across cities. The threshold lines highlight the  health-related ranges: Moderate (100) and Unhealthy (150). The chart reveals that  average AQI values often hover near or above the Unhealthy threshold, with   fluctuations across the decade. The variability band suggests that while some regions improved, others worsened, reflecting differences in industrial activity, emission controls, and seasonal pollution events.  </w:t>
      </w:r>
    </w:p>
    <w:p w14:paraId="2BD936DA" w14:textId="77777777" w:rsidR="003241FF" w:rsidRDefault="00AB23D9">
      <w:pPr>
        <w:spacing w:after="287" w:line="259" w:lineRule="auto"/>
        <w:ind w:left="376" w:right="0" w:firstLine="0"/>
      </w:pPr>
      <w:r>
        <w:t xml:space="preserve">  </w:t>
      </w:r>
    </w:p>
    <w:p w14:paraId="471A2668" w14:textId="77777777" w:rsidR="003241FF" w:rsidRDefault="00AB23D9">
      <w:pPr>
        <w:numPr>
          <w:ilvl w:val="0"/>
          <w:numId w:val="5"/>
        </w:numPr>
        <w:spacing w:after="192" w:line="259" w:lineRule="auto"/>
        <w:ind w:right="0" w:hanging="360"/>
      </w:pPr>
      <w:r>
        <w:rPr>
          <w:b/>
        </w:rPr>
        <w:t>PM2.5 vs AQI Scatter:</w:t>
      </w:r>
      <w:r>
        <w:t xml:space="preserve">   </w:t>
      </w:r>
    </w:p>
    <w:p w14:paraId="51403C1F" w14:textId="77777777" w:rsidR="003241FF" w:rsidRDefault="00AB23D9">
      <w:pPr>
        <w:spacing w:after="150" w:line="259" w:lineRule="auto"/>
        <w:ind w:left="0" w:right="721" w:firstLine="0"/>
        <w:jc w:val="right"/>
      </w:pPr>
      <w:r>
        <w:rPr>
          <w:noProof/>
        </w:rPr>
        <w:drawing>
          <wp:inline distT="0" distB="0" distL="0" distR="0" wp14:anchorId="00B06A55" wp14:editId="0AEBDC7B">
            <wp:extent cx="5943600" cy="3202305"/>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1"/>
                    <a:stretch>
                      <a:fillRect/>
                    </a:stretch>
                  </pic:blipFill>
                  <pic:spPr>
                    <a:xfrm>
                      <a:off x="0" y="0"/>
                      <a:ext cx="5943600" cy="3202305"/>
                    </a:xfrm>
                    <a:prstGeom prst="rect">
                      <a:avLst/>
                    </a:prstGeom>
                  </pic:spPr>
                </pic:pic>
              </a:graphicData>
            </a:graphic>
          </wp:inline>
        </w:drawing>
      </w:r>
      <w:r>
        <w:t xml:space="preserve">  </w:t>
      </w:r>
    </w:p>
    <w:p w14:paraId="284F5106" w14:textId="77777777" w:rsidR="003241FF" w:rsidRDefault="00AB23D9">
      <w:pPr>
        <w:spacing w:after="367"/>
        <w:ind w:right="935"/>
      </w:pPr>
      <w:r>
        <w:t xml:space="preserve">This visualization shows a clear positive relationship between PM2.5 concentrations and AQI  values. As PM2.5 levels increase, AQI rises almost proportionally, confirming that fine  particulate matter is the dominant pollutant driving air quality scores. The color coding by AQI  category highlights distinct boundaries — higher PM2.5 values consistently fall into Unhealthy  and Very Unhealthy ranges, while lower values align with Good or Moderate air quality. This  separation demonstrates that PM2.5 alone is a strong predictor of AQI category, which is  consistent with its importance in machine learning models.  </w:t>
      </w:r>
    </w:p>
    <w:p w14:paraId="05E40BE7" w14:textId="77777777" w:rsidR="003241FF" w:rsidRDefault="00AB23D9">
      <w:pPr>
        <w:spacing w:after="105" w:line="259" w:lineRule="auto"/>
        <w:ind w:left="15" w:right="0" w:firstLine="0"/>
      </w:pPr>
      <w:r>
        <w:rPr>
          <w:sz w:val="32"/>
        </w:rPr>
        <w:t xml:space="preserve"> </w:t>
      </w:r>
      <w:r>
        <w:t xml:space="preserve"> </w:t>
      </w:r>
    </w:p>
    <w:p w14:paraId="18A963A7" w14:textId="77777777" w:rsidR="003241FF" w:rsidRDefault="00AB23D9">
      <w:pPr>
        <w:numPr>
          <w:ilvl w:val="0"/>
          <w:numId w:val="5"/>
        </w:numPr>
        <w:spacing w:after="6" w:line="259" w:lineRule="auto"/>
        <w:ind w:right="0" w:hanging="360"/>
      </w:pPr>
      <w:r>
        <w:rPr>
          <w:b/>
        </w:rPr>
        <w:t>Correlation Heatmap:</w:t>
      </w:r>
      <w:r>
        <w:t xml:space="preserve">  </w:t>
      </w:r>
    </w:p>
    <w:p w14:paraId="3560C321" w14:textId="77777777" w:rsidR="003241FF" w:rsidRDefault="00AB23D9">
      <w:pPr>
        <w:spacing w:after="150" w:line="259" w:lineRule="auto"/>
        <w:ind w:left="0" w:right="0" w:firstLine="0"/>
        <w:jc w:val="right"/>
      </w:pPr>
      <w:r>
        <w:rPr>
          <w:noProof/>
        </w:rPr>
        <w:drawing>
          <wp:inline distT="0" distB="0" distL="0" distR="0" wp14:anchorId="1576047F" wp14:editId="6B9748C0">
            <wp:extent cx="5943600" cy="453707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2"/>
                    <a:stretch>
                      <a:fillRect/>
                    </a:stretch>
                  </pic:blipFill>
                  <pic:spPr>
                    <a:xfrm>
                      <a:off x="0" y="0"/>
                      <a:ext cx="5943600" cy="4537075"/>
                    </a:xfrm>
                    <a:prstGeom prst="rect">
                      <a:avLst/>
                    </a:prstGeom>
                  </pic:spPr>
                </pic:pic>
              </a:graphicData>
            </a:graphic>
          </wp:inline>
        </w:drawing>
      </w:r>
      <w:r>
        <w:t xml:space="preserve">  </w:t>
      </w:r>
    </w:p>
    <w:p w14:paraId="5C2A8B13" w14:textId="77777777" w:rsidR="003241FF" w:rsidRDefault="00AB23D9">
      <w:pPr>
        <w:ind w:right="935"/>
      </w:pPr>
      <w:r>
        <w:t xml:space="preserve">This correlation heatmap shows that AQI has very weak correlations with the pollutants and  weather variables in this dataset. Most coefficients are close to zero, indicating little to no linear  relationship.  </w:t>
      </w:r>
    </w:p>
    <w:p w14:paraId="672639AF" w14:textId="77777777" w:rsidR="003241FF" w:rsidRDefault="00AB23D9">
      <w:pPr>
        <w:ind w:right="935"/>
      </w:pPr>
      <w:r>
        <w:t xml:space="preserve">For example, AQI vs PM10 is only 0.03, and AQI vs PM2.5 is effectively 0.00. Weather features such as temperature, humidity, and wind speed also show negligible correlations.  </w:t>
      </w:r>
    </w:p>
    <w:p w14:paraId="407FC9FD" w14:textId="77777777" w:rsidR="003241FF" w:rsidRDefault="00AB23D9">
      <w:pPr>
        <w:ind w:right="935"/>
      </w:pPr>
      <w:r>
        <w:t xml:space="preserve">This suggests that in this dataset, AQI values are not strongly explained by any single variable,  and more complex interactions or external factors may be influencing air quality levels.  </w:t>
      </w:r>
    </w:p>
    <w:p w14:paraId="0174B978" w14:textId="77777777" w:rsidR="003241FF" w:rsidRDefault="00AB23D9">
      <w:pPr>
        <w:spacing w:after="330" w:line="259" w:lineRule="auto"/>
        <w:ind w:left="15" w:right="0" w:firstLine="0"/>
      </w:pPr>
      <w:r>
        <w:t xml:space="preserve">  </w:t>
      </w:r>
    </w:p>
    <w:p w14:paraId="75FBD9CD" w14:textId="77777777" w:rsidR="003241FF" w:rsidRDefault="00AB23D9">
      <w:pPr>
        <w:pStyle w:val="Heading1"/>
        <w:spacing w:after="201"/>
        <w:ind w:left="-5"/>
      </w:pPr>
      <w:r>
        <w:t xml:space="preserve">6. KNN Results  </w:t>
      </w:r>
    </w:p>
    <w:p w14:paraId="59DF89EE" w14:textId="77777777" w:rsidR="003241FF" w:rsidRDefault="00AB23D9">
      <w:pPr>
        <w:numPr>
          <w:ilvl w:val="0"/>
          <w:numId w:val="6"/>
        </w:numPr>
        <w:ind w:right="935" w:hanging="360"/>
      </w:pPr>
      <w:r>
        <w:t xml:space="preserve">k=3 → Accuracy ≈ 60.11%  </w:t>
      </w:r>
    </w:p>
    <w:p w14:paraId="6FBB4972" w14:textId="77777777" w:rsidR="003241FF" w:rsidRDefault="00AB23D9">
      <w:pPr>
        <w:numPr>
          <w:ilvl w:val="0"/>
          <w:numId w:val="6"/>
        </w:numPr>
        <w:ind w:right="935" w:hanging="360"/>
      </w:pPr>
      <w:r>
        <w:t xml:space="preserve">k=5 → Accuracy ≈ 61.89%  </w:t>
      </w:r>
      <w:r>
        <w:rPr>
          <w:rFonts w:ascii="Arial" w:eastAsia="Arial" w:hAnsi="Arial" w:cs="Arial"/>
          <w:sz w:val="20"/>
        </w:rPr>
        <w:t xml:space="preserve">• </w:t>
      </w:r>
      <w:r>
        <w:rPr>
          <w:rFonts w:ascii="Arial" w:eastAsia="Arial" w:hAnsi="Arial" w:cs="Arial"/>
          <w:sz w:val="20"/>
        </w:rPr>
        <w:tab/>
      </w:r>
      <w:r>
        <w:t xml:space="preserve">k=7 → Accuracy ≈ 64.07% (best)  </w:t>
      </w:r>
    </w:p>
    <w:p w14:paraId="7EFDA062" w14:textId="77777777" w:rsidR="003241FF" w:rsidRDefault="00AB23D9">
      <w:pPr>
        <w:numPr>
          <w:ilvl w:val="0"/>
          <w:numId w:val="6"/>
        </w:numPr>
        <w:spacing w:after="256" w:line="259" w:lineRule="auto"/>
        <w:ind w:right="935" w:hanging="360"/>
      </w:pPr>
      <w:r>
        <w:rPr>
          <w:b/>
        </w:rPr>
        <w:t>Interpretation:</w:t>
      </w:r>
      <w:r>
        <w:t xml:space="preserve">   </w:t>
      </w:r>
    </w:p>
    <w:p w14:paraId="62FEC71C" w14:textId="77777777" w:rsidR="003241FF" w:rsidRDefault="00AB23D9">
      <w:pPr>
        <w:ind w:left="366" w:right="935"/>
      </w:pPr>
      <w:r>
        <w:t xml:space="preserve">      Larger k smooths decision boundaries, reducing overfitting.  </w:t>
      </w:r>
    </w:p>
    <w:p w14:paraId="63297295" w14:textId="77777777" w:rsidR="003241FF" w:rsidRDefault="00AB23D9">
      <w:pPr>
        <w:pStyle w:val="Heading1"/>
        <w:ind w:left="-5"/>
      </w:pPr>
      <w:r>
        <w:t xml:space="preserve">7. Naive Bayes Results  </w:t>
      </w:r>
    </w:p>
    <w:p w14:paraId="481DB02B" w14:textId="77777777" w:rsidR="003241FF" w:rsidRDefault="00AB23D9">
      <w:pPr>
        <w:numPr>
          <w:ilvl w:val="0"/>
          <w:numId w:val="7"/>
        </w:numPr>
        <w:ind w:right="935" w:hanging="360"/>
      </w:pPr>
      <w:r>
        <w:t xml:space="preserve">Accuracy ≈ 99.45%  </w:t>
      </w:r>
    </w:p>
    <w:p w14:paraId="35FC4CFF" w14:textId="77777777" w:rsidR="003241FF" w:rsidRDefault="00AB23D9">
      <w:pPr>
        <w:numPr>
          <w:ilvl w:val="0"/>
          <w:numId w:val="7"/>
        </w:numPr>
        <w:ind w:right="935" w:hanging="360"/>
      </w:pPr>
      <w:r>
        <w:t xml:space="preserve">Confusion matrix shows better handling of minority classes.  </w:t>
      </w:r>
    </w:p>
    <w:p w14:paraId="2B229147" w14:textId="77777777" w:rsidR="003241FF" w:rsidRDefault="00AB23D9">
      <w:pPr>
        <w:numPr>
          <w:ilvl w:val="0"/>
          <w:numId w:val="7"/>
        </w:numPr>
        <w:spacing w:after="255" w:line="259" w:lineRule="auto"/>
        <w:ind w:right="935" w:hanging="360"/>
      </w:pPr>
      <w:r>
        <w:rPr>
          <w:b/>
        </w:rPr>
        <w:t>Interpretation:</w:t>
      </w:r>
      <w:r>
        <w:t xml:space="preserve">   </w:t>
      </w:r>
    </w:p>
    <w:p w14:paraId="682C24EF" w14:textId="77777777" w:rsidR="003241FF" w:rsidRDefault="00AB23D9">
      <w:pPr>
        <w:spacing w:after="262"/>
        <w:ind w:left="746" w:right="935"/>
      </w:pPr>
      <w:r>
        <w:t xml:space="preserve">Outperformed KNN due to probabilistic approach.  </w:t>
      </w:r>
    </w:p>
    <w:p w14:paraId="0091E45B" w14:textId="77777777" w:rsidR="003241FF" w:rsidRDefault="00AB23D9">
      <w:pPr>
        <w:spacing w:after="330" w:line="259" w:lineRule="auto"/>
        <w:ind w:left="736" w:right="0" w:firstLine="0"/>
      </w:pPr>
      <w:r>
        <w:t xml:space="preserve">  </w:t>
      </w:r>
    </w:p>
    <w:p w14:paraId="77F23060" w14:textId="77777777" w:rsidR="003241FF" w:rsidRDefault="00AB23D9">
      <w:pPr>
        <w:pStyle w:val="Heading1"/>
        <w:ind w:left="-5"/>
      </w:pPr>
      <w:r>
        <w:t xml:space="preserve">8. K-Means Clustering Results  </w:t>
      </w:r>
    </w:p>
    <w:p w14:paraId="2136D15B" w14:textId="77777777" w:rsidR="003241FF" w:rsidRDefault="00AB23D9">
      <w:pPr>
        <w:numPr>
          <w:ilvl w:val="0"/>
          <w:numId w:val="8"/>
        </w:numPr>
        <w:ind w:right="935" w:hanging="360"/>
      </w:pPr>
      <w:r>
        <w:t xml:space="preserve">3 clusters formed, all in Unhealthy range.  </w:t>
      </w:r>
    </w:p>
    <w:p w14:paraId="4F0A6673" w14:textId="77777777" w:rsidR="003241FF" w:rsidRDefault="00AB23D9">
      <w:pPr>
        <w:numPr>
          <w:ilvl w:val="0"/>
          <w:numId w:val="8"/>
        </w:numPr>
        <w:ind w:right="935" w:hanging="360"/>
      </w:pPr>
      <w:r>
        <w:t xml:space="preserve">Differences lie in pollutant composition:   </w:t>
      </w:r>
    </w:p>
    <w:p w14:paraId="5D09342D" w14:textId="77777777" w:rsidR="003241FF" w:rsidRDefault="00AB23D9">
      <w:pPr>
        <w:spacing w:after="337"/>
        <w:ind w:left="1106" w:right="5375"/>
      </w:pPr>
      <w:r>
        <w:rPr>
          <w:rFonts w:ascii="Courier New" w:eastAsia="Courier New" w:hAnsi="Courier New" w:cs="Courier New"/>
          <w:sz w:val="20"/>
        </w:rPr>
        <w:t>o</w:t>
      </w:r>
      <w:r>
        <w:rPr>
          <w:rFonts w:ascii="Arial" w:eastAsia="Arial" w:hAnsi="Arial" w:cs="Arial"/>
          <w:sz w:val="20"/>
        </w:rPr>
        <w:t xml:space="preserve">  </w:t>
      </w:r>
      <w:r>
        <w:t xml:space="preserve">Cluster 0 → CO-dominated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1 → High particulate matter </w:t>
      </w:r>
      <w:r>
        <w:rPr>
          <w:rFonts w:ascii="Courier New" w:eastAsia="Courier New" w:hAnsi="Courier New" w:cs="Courier New"/>
          <w:sz w:val="20"/>
        </w:rPr>
        <w:t>o</w:t>
      </w:r>
      <w:r>
        <w:rPr>
          <w:rFonts w:ascii="Arial" w:eastAsia="Arial" w:hAnsi="Arial" w:cs="Arial"/>
          <w:sz w:val="20"/>
        </w:rPr>
        <w:t xml:space="preserve">  </w:t>
      </w:r>
      <w:r>
        <w:t xml:space="preserve">Cluster 2 → Mixed pollutants  </w:t>
      </w:r>
    </w:p>
    <w:p w14:paraId="4523797D" w14:textId="77777777" w:rsidR="003241FF" w:rsidRDefault="00AB23D9">
      <w:pPr>
        <w:pStyle w:val="Heading1"/>
        <w:spacing w:after="220"/>
        <w:ind w:left="-5"/>
      </w:pPr>
      <w:r>
        <w:t xml:space="preserve">9. PCA Visualization  </w:t>
      </w:r>
    </w:p>
    <w:p w14:paraId="7CF893C3" w14:textId="77777777" w:rsidR="003241FF" w:rsidRDefault="00AB23D9">
      <w:pPr>
        <w:numPr>
          <w:ilvl w:val="0"/>
          <w:numId w:val="9"/>
        </w:numPr>
        <w:ind w:right="935" w:hanging="360"/>
      </w:pPr>
      <w:r>
        <w:t xml:space="preserve">PC1 (10.9%) → pollution intensity (AQI, PM2.5, PM10, NO2).  </w:t>
      </w:r>
    </w:p>
    <w:p w14:paraId="67499A7F" w14:textId="77777777" w:rsidR="003241FF" w:rsidRDefault="00AB23D9">
      <w:pPr>
        <w:numPr>
          <w:ilvl w:val="0"/>
          <w:numId w:val="9"/>
        </w:numPr>
        <w:ind w:right="935" w:hanging="360"/>
      </w:pPr>
      <w:r>
        <w:t xml:space="preserve">PC2 (10.6%) → ozone + weather factors.  </w:t>
      </w:r>
    </w:p>
    <w:p w14:paraId="0DB8E151" w14:textId="77777777" w:rsidR="003241FF" w:rsidRDefault="00AB23D9">
      <w:pPr>
        <w:numPr>
          <w:ilvl w:val="0"/>
          <w:numId w:val="9"/>
        </w:numPr>
        <w:ind w:right="935" w:hanging="360"/>
      </w:pPr>
      <w:r>
        <w:t xml:space="preserve">First two PCs explain ≈ 21.5% variance.  </w:t>
      </w:r>
    </w:p>
    <w:p w14:paraId="08A8987A" w14:textId="77777777" w:rsidR="003241FF" w:rsidRDefault="00AB23D9">
      <w:pPr>
        <w:numPr>
          <w:ilvl w:val="0"/>
          <w:numId w:val="9"/>
        </w:numPr>
        <w:spacing w:after="336"/>
        <w:ind w:right="935" w:hanging="360"/>
      </w:pPr>
      <w:r>
        <w:t xml:space="preserve">AQI categories and clusters form distinguishable regions.  </w:t>
      </w:r>
    </w:p>
    <w:p w14:paraId="46EE2EB3" w14:textId="77777777" w:rsidR="003241FF" w:rsidRDefault="00AB23D9">
      <w:pPr>
        <w:pStyle w:val="Heading1"/>
        <w:spacing w:after="0"/>
        <w:ind w:left="-5"/>
      </w:pPr>
      <w:r>
        <w:t xml:space="preserve">10. Final Comparison Table  </w:t>
      </w:r>
    </w:p>
    <w:tbl>
      <w:tblPr>
        <w:tblStyle w:val="TableGrid"/>
        <w:tblW w:w="6888" w:type="dxa"/>
        <w:tblInd w:w="55" w:type="dxa"/>
        <w:tblCellMar>
          <w:top w:w="124" w:type="dxa"/>
          <w:left w:w="35" w:type="dxa"/>
        </w:tblCellMar>
        <w:tblLook w:val="04A0" w:firstRow="1" w:lastRow="0" w:firstColumn="1" w:lastColumn="0" w:noHBand="0" w:noVBand="1"/>
      </w:tblPr>
      <w:tblGrid>
        <w:gridCol w:w="1296"/>
        <w:gridCol w:w="2071"/>
        <w:gridCol w:w="2460"/>
        <w:gridCol w:w="1061"/>
      </w:tblGrid>
      <w:tr w:rsidR="003241FF" w14:paraId="3B69F33A"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3A827393" w14:textId="77777777" w:rsidR="003241FF" w:rsidRDefault="00AB23D9">
            <w:pPr>
              <w:spacing w:after="0" w:line="259" w:lineRule="auto"/>
              <w:ind w:left="0" w:right="52" w:firstLine="0"/>
              <w:jc w:val="center"/>
            </w:pPr>
            <w:r>
              <w:rPr>
                <w:b/>
              </w:rPr>
              <w:t xml:space="preserve">Method </w:t>
            </w:r>
            <w:r>
              <w:t xml:space="preserve"> </w:t>
            </w:r>
          </w:p>
        </w:tc>
        <w:tc>
          <w:tcPr>
            <w:tcW w:w="2071" w:type="dxa"/>
            <w:tcBorders>
              <w:top w:val="double" w:sz="4" w:space="0" w:color="000000"/>
              <w:left w:val="double" w:sz="4" w:space="0" w:color="000000"/>
              <w:bottom w:val="double" w:sz="4" w:space="0" w:color="000000"/>
              <w:right w:val="double" w:sz="4" w:space="0" w:color="000000"/>
            </w:tcBorders>
            <w:vAlign w:val="center"/>
          </w:tcPr>
          <w:p w14:paraId="3998B37B" w14:textId="77777777" w:rsidR="003241FF" w:rsidRDefault="00AB23D9">
            <w:pPr>
              <w:spacing w:after="0" w:line="259" w:lineRule="auto"/>
              <w:ind w:left="0" w:right="43" w:firstLine="0"/>
              <w:jc w:val="center"/>
            </w:pPr>
            <w:r>
              <w:rPr>
                <w:b/>
              </w:rPr>
              <w:t xml:space="preserve">Type </w:t>
            </w:r>
            <w:r>
              <w:t xml:space="preserve"> </w:t>
            </w:r>
          </w:p>
        </w:tc>
        <w:tc>
          <w:tcPr>
            <w:tcW w:w="2461" w:type="dxa"/>
            <w:tcBorders>
              <w:top w:val="double" w:sz="4" w:space="0" w:color="000000"/>
              <w:left w:val="double" w:sz="4" w:space="0" w:color="000000"/>
              <w:bottom w:val="double" w:sz="4" w:space="0" w:color="000000"/>
              <w:right w:val="double" w:sz="4" w:space="0" w:color="000000"/>
            </w:tcBorders>
            <w:vAlign w:val="center"/>
          </w:tcPr>
          <w:p w14:paraId="322A50CC" w14:textId="77777777" w:rsidR="003241FF" w:rsidRDefault="00AB23D9">
            <w:pPr>
              <w:spacing w:after="0" w:line="259" w:lineRule="auto"/>
              <w:ind w:left="0" w:right="44" w:firstLine="0"/>
              <w:jc w:val="center"/>
            </w:pPr>
            <w:r>
              <w:rPr>
                <w:b/>
              </w:rPr>
              <w:t xml:space="preserve">Purpose </w:t>
            </w:r>
            <w:r>
              <w:t xml:space="preserve"> </w:t>
            </w:r>
          </w:p>
        </w:tc>
        <w:tc>
          <w:tcPr>
            <w:tcW w:w="1061" w:type="dxa"/>
            <w:tcBorders>
              <w:top w:val="double" w:sz="4" w:space="0" w:color="000000"/>
              <w:left w:val="double" w:sz="4" w:space="0" w:color="000000"/>
              <w:bottom w:val="double" w:sz="4" w:space="0" w:color="000000"/>
              <w:right w:val="double" w:sz="4" w:space="0" w:color="000000"/>
            </w:tcBorders>
          </w:tcPr>
          <w:p w14:paraId="1C6A7728" w14:textId="77777777" w:rsidR="003241FF" w:rsidRDefault="00AB23D9">
            <w:pPr>
              <w:spacing w:after="0" w:line="259" w:lineRule="auto"/>
              <w:ind w:left="0" w:right="0" w:firstLine="0"/>
              <w:jc w:val="center"/>
            </w:pPr>
            <w:r>
              <w:rPr>
                <w:b/>
              </w:rPr>
              <w:t xml:space="preserve">Main </w:t>
            </w:r>
            <w:r>
              <w:t xml:space="preserve"> </w:t>
            </w:r>
            <w:r>
              <w:rPr>
                <w:b/>
              </w:rPr>
              <w:t xml:space="preserve">Result </w:t>
            </w:r>
            <w:r>
              <w:t xml:space="preserve"> </w:t>
            </w:r>
          </w:p>
        </w:tc>
      </w:tr>
      <w:tr w:rsidR="003241FF" w14:paraId="2B811A43"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6AA4CCA9" w14:textId="77777777" w:rsidR="003241FF" w:rsidRDefault="00AB23D9">
            <w:pPr>
              <w:spacing w:after="0" w:line="259" w:lineRule="auto"/>
              <w:ind w:left="0" w:right="0" w:firstLine="0"/>
              <w:jc w:val="both"/>
            </w:pPr>
            <w:r>
              <w:t xml:space="preserve">KNN (k=3)  </w:t>
            </w:r>
          </w:p>
        </w:tc>
        <w:tc>
          <w:tcPr>
            <w:tcW w:w="2071" w:type="dxa"/>
            <w:tcBorders>
              <w:top w:val="double" w:sz="4" w:space="0" w:color="000000"/>
              <w:left w:val="double" w:sz="4" w:space="0" w:color="000000"/>
              <w:bottom w:val="double" w:sz="4" w:space="0" w:color="000000"/>
              <w:right w:val="double" w:sz="4" w:space="0" w:color="000000"/>
            </w:tcBorders>
            <w:vAlign w:val="center"/>
          </w:tcPr>
          <w:p w14:paraId="4F4C725E"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2CC6D78"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7906EF5" w14:textId="77777777" w:rsidR="003241FF" w:rsidRDefault="00AB23D9">
            <w:pPr>
              <w:spacing w:after="0" w:line="259" w:lineRule="auto"/>
              <w:ind w:left="5" w:right="0" w:firstLine="0"/>
            </w:pPr>
            <w:r>
              <w:t xml:space="preserve">60.11%  </w:t>
            </w:r>
          </w:p>
          <w:p w14:paraId="3AFD8917" w14:textId="77777777" w:rsidR="003241FF" w:rsidRDefault="00AB23D9">
            <w:pPr>
              <w:spacing w:after="0" w:line="259" w:lineRule="auto"/>
              <w:ind w:left="5" w:right="0" w:firstLine="0"/>
            </w:pPr>
            <w:r>
              <w:t xml:space="preserve">Acc  </w:t>
            </w:r>
          </w:p>
        </w:tc>
      </w:tr>
      <w:tr w:rsidR="003241FF" w14:paraId="3D2F28D1"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12D94D31" w14:textId="77777777" w:rsidR="003241FF" w:rsidRDefault="00AB23D9">
            <w:pPr>
              <w:spacing w:after="0" w:line="259" w:lineRule="auto"/>
              <w:ind w:left="0" w:right="0" w:firstLine="0"/>
              <w:jc w:val="both"/>
            </w:pPr>
            <w:r>
              <w:t xml:space="preserve">KNN (k=5)  </w:t>
            </w:r>
          </w:p>
        </w:tc>
        <w:tc>
          <w:tcPr>
            <w:tcW w:w="2071" w:type="dxa"/>
            <w:tcBorders>
              <w:top w:val="double" w:sz="4" w:space="0" w:color="000000"/>
              <w:left w:val="double" w:sz="4" w:space="0" w:color="000000"/>
              <w:bottom w:val="double" w:sz="4" w:space="0" w:color="000000"/>
              <w:right w:val="double" w:sz="4" w:space="0" w:color="000000"/>
            </w:tcBorders>
            <w:vAlign w:val="center"/>
          </w:tcPr>
          <w:p w14:paraId="357303E7"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18698A1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23E4422B" w14:textId="77777777" w:rsidR="003241FF" w:rsidRDefault="00AB23D9">
            <w:pPr>
              <w:spacing w:after="0" w:line="259" w:lineRule="auto"/>
              <w:ind w:left="5" w:right="0" w:firstLine="0"/>
            </w:pPr>
            <w:r>
              <w:t xml:space="preserve">61.89%  </w:t>
            </w:r>
          </w:p>
          <w:p w14:paraId="06CB37FA" w14:textId="77777777" w:rsidR="003241FF" w:rsidRDefault="00AB23D9">
            <w:pPr>
              <w:spacing w:after="0" w:line="259" w:lineRule="auto"/>
              <w:ind w:left="5" w:right="0" w:firstLine="0"/>
            </w:pPr>
            <w:r>
              <w:t xml:space="preserve">Acc  </w:t>
            </w:r>
          </w:p>
        </w:tc>
      </w:tr>
      <w:tr w:rsidR="003241FF" w14:paraId="7D06B3EC" w14:textId="77777777">
        <w:trPr>
          <w:trHeight w:val="711"/>
        </w:trPr>
        <w:tc>
          <w:tcPr>
            <w:tcW w:w="1296" w:type="dxa"/>
            <w:tcBorders>
              <w:top w:val="double" w:sz="4" w:space="0" w:color="000000"/>
              <w:left w:val="double" w:sz="4" w:space="0" w:color="000000"/>
              <w:bottom w:val="double" w:sz="4" w:space="0" w:color="000000"/>
              <w:right w:val="double" w:sz="4" w:space="0" w:color="000000"/>
            </w:tcBorders>
            <w:vAlign w:val="center"/>
          </w:tcPr>
          <w:p w14:paraId="553DC034" w14:textId="77777777" w:rsidR="003241FF" w:rsidRDefault="00AB23D9">
            <w:pPr>
              <w:spacing w:after="0" w:line="259" w:lineRule="auto"/>
              <w:ind w:left="0" w:right="0" w:firstLine="0"/>
              <w:jc w:val="both"/>
            </w:pPr>
            <w:r>
              <w:t xml:space="preserve">KNN (k=7)  </w:t>
            </w:r>
          </w:p>
        </w:tc>
        <w:tc>
          <w:tcPr>
            <w:tcW w:w="2071" w:type="dxa"/>
            <w:tcBorders>
              <w:top w:val="double" w:sz="4" w:space="0" w:color="000000"/>
              <w:left w:val="double" w:sz="4" w:space="0" w:color="000000"/>
              <w:bottom w:val="double" w:sz="4" w:space="0" w:color="000000"/>
              <w:right w:val="double" w:sz="4" w:space="0" w:color="000000"/>
            </w:tcBorders>
            <w:vAlign w:val="center"/>
          </w:tcPr>
          <w:p w14:paraId="3D036268"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5E30F9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2DAE017" w14:textId="77777777" w:rsidR="003241FF" w:rsidRDefault="00AB23D9">
            <w:pPr>
              <w:spacing w:after="0" w:line="259" w:lineRule="auto"/>
              <w:ind w:left="5" w:right="0" w:firstLine="0"/>
            </w:pPr>
            <w:r>
              <w:t xml:space="preserve">64.07%  </w:t>
            </w:r>
          </w:p>
          <w:p w14:paraId="11D394F8" w14:textId="77777777" w:rsidR="003241FF" w:rsidRDefault="00AB23D9">
            <w:pPr>
              <w:spacing w:after="0" w:line="259" w:lineRule="auto"/>
              <w:ind w:left="5" w:right="0" w:firstLine="0"/>
            </w:pPr>
            <w:r>
              <w:t xml:space="preserve">Acc  </w:t>
            </w:r>
          </w:p>
        </w:tc>
      </w:tr>
      <w:tr w:rsidR="003241FF" w14:paraId="5F162CB6"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05317008" w14:textId="77777777" w:rsidR="003241FF" w:rsidRDefault="00AB23D9">
            <w:pPr>
              <w:spacing w:after="0" w:line="259" w:lineRule="auto"/>
              <w:ind w:left="0" w:right="0" w:firstLine="0"/>
              <w:jc w:val="both"/>
            </w:pPr>
            <w:r>
              <w:t xml:space="preserve">Naive Bayes </w:t>
            </w:r>
          </w:p>
        </w:tc>
        <w:tc>
          <w:tcPr>
            <w:tcW w:w="2071" w:type="dxa"/>
            <w:tcBorders>
              <w:top w:val="double" w:sz="4" w:space="0" w:color="000000"/>
              <w:left w:val="double" w:sz="4" w:space="0" w:color="000000"/>
              <w:bottom w:val="double" w:sz="4" w:space="0" w:color="000000"/>
              <w:right w:val="double" w:sz="4" w:space="0" w:color="000000"/>
            </w:tcBorders>
            <w:vAlign w:val="center"/>
          </w:tcPr>
          <w:p w14:paraId="54A389CB"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20EA1501"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4F347C30" w14:textId="77777777" w:rsidR="003241FF" w:rsidRDefault="00AB23D9">
            <w:pPr>
              <w:spacing w:after="0" w:line="259" w:lineRule="auto"/>
              <w:ind w:left="5" w:right="0" w:firstLine="0"/>
            </w:pPr>
            <w:r>
              <w:t xml:space="preserve">99.45%  </w:t>
            </w:r>
          </w:p>
          <w:p w14:paraId="2B8D1973" w14:textId="77777777" w:rsidR="003241FF" w:rsidRDefault="00AB23D9">
            <w:pPr>
              <w:spacing w:after="0" w:line="259" w:lineRule="auto"/>
              <w:ind w:left="5" w:right="0" w:firstLine="0"/>
            </w:pPr>
            <w:r>
              <w:t xml:space="preserve">Acc  </w:t>
            </w:r>
          </w:p>
        </w:tc>
      </w:tr>
      <w:tr w:rsidR="003241FF" w14:paraId="1B072C8D" w14:textId="77777777">
        <w:trPr>
          <w:trHeight w:val="435"/>
        </w:trPr>
        <w:tc>
          <w:tcPr>
            <w:tcW w:w="1296" w:type="dxa"/>
            <w:tcBorders>
              <w:top w:val="double" w:sz="4" w:space="0" w:color="000000"/>
              <w:left w:val="double" w:sz="4" w:space="0" w:color="000000"/>
              <w:bottom w:val="double" w:sz="4" w:space="0" w:color="000000"/>
              <w:right w:val="double" w:sz="4" w:space="0" w:color="000000"/>
            </w:tcBorders>
          </w:tcPr>
          <w:p w14:paraId="70BE3D72" w14:textId="77777777" w:rsidR="003241FF" w:rsidRDefault="00AB23D9">
            <w:pPr>
              <w:spacing w:after="0" w:line="259" w:lineRule="auto"/>
              <w:ind w:left="0" w:right="0" w:firstLine="0"/>
            </w:pPr>
            <w:r>
              <w:t xml:space="preserve">K-Means  </w:t>
            </w:r>
          </w:p>
        </w:tc>
        <w:tc>
          <w:tcPr>
            <w:tcW w:w="2071" w:type="dxa"/>
            <w:tcBorders>
              <w:top w:val="double" w:sz="4" w:space="0" w:color="000000"/>
              <w:left w:val="double" w:sz="4" w:space="0" w:color="000000"/>
              <w:bottom w:val="double" w:sz="4" w:space="0" w:color="000000"/>
              <w:right w:val="double" w:sz="4" w:space="0" w:color="000000"/>
            </w:tcBorders>
          </w:tcPr>
          <w:p w14:paraId="4D483DDE" w14:textId="77777777" w:rsidR="003241FF" w:rsidRDefault="00AB23D9">
            <w:pPr>
              <w:spacing w:after="0" w:line="259" w:lineRule="auto"/>
              <w:ind w:left="5" w:right="0" w:firstLine="0"/>
            </w:pPr>
            <w:r>
              <w:t xml:space="preserve">Unsupervised  </w:t>
            </w:r>
          </w:p>
        </w:tc>
        <w:tc>
          <w:tcPr>
            <w:tcW w:w="2461" w:type="dxa"/>
            <w:tcBorders>
              <w:top w:val="double" w:sz="4" w:space="0" w:color="000000"/>
              <w:left w:val="double" w:sz="4" w:space="0" w:color="000000"/>
              <w:bottom w:val="double" w:sz="4" w:space="0" w:color="000000"/>
              <w:right w:val="double" w:sz="4" w:space="0" w:color="000000"/>
            </w:tcBorders>
          </w:tcPr>
          <w:p w14:paraId="677A4670" w14:textId="77777777" w:rsidR="003241FF" w:rsidRDefault="00AB23D9">
            <w:pPr>
              <w:spacing w:after="0" w:line="259" w:lineRule="auto"/>
              <w:ind w:left="0" w:right="0" w:firstLine="0"/>
            </w:pPr>
            <w:r>
              <w:t xml:space="preserve">Group similar records  </w:t>
            </w:r>
          </w:p>
        </w:tc>
        <w:tc>
          <w:tcPr>
            <w:tcW w:w="1061" w:type="dxa"/>
            <w:tcBorders>
              <w:top w:val="double" w:sz="4" w:space="0" w:color="000000"/>
              <w:left w:val="double" w:sz="4" w:space="0" w:color="000000"/>
              <w:bottom w:val="double" w:sz="4" w:space="0" w:color="000000"/>
              <w:right w:val="double" w:sz="4" w:space="0" w:color="000000"/>
            </w:tcBorders>
          </w:tcPr>
          <w:p w14:paraId="58ED19E4" w14:textId="77777777" w:rsidR="003241FF" w:rsidRDefault="00AB23D9">
            <w:pPr>
              <w:spacing w:after="0" w:line="259" w:lineRule="auto"/>
              <w:ind w:left="5" w:right="0" w:firstLine="0"/>
              <w:jc w:val="both"/>
            </w:pPr>
            <w:r>
              <w:t xml:space="preserve">3 clusters </w:t>
            </w:r>
          </w:p>
        </w:tc>
      </w:tr>
      <w:tr w:rsidR="003241FF" w14:paraId="59EFF112"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7D44E633" w14:textId="77777777" w:rsidR="003241FF" w:rsidRDefault="00AB23D9">
            <w:pPr>
              <w:spacing w:after="0" w:line="259" w:lineRule="auto"/>
              <w:ind w:left="0" w:right="0" w:firstLine="0"/>
            </w:pPr>
            <w:r>
              <w:t xml:space="preserve">PCA  </w:t>
            </w:r>
          </w:p>
        </w:tc>
        <w:tc>
          <w:tcPr>
            <w:tcW w:w="2071" w:type="dxa"/>
            <w:tcBorders>
              <w:top w:val="double" w:sz="4" w:space="0" w:color="000000"/>
              <w:left w:val="double" w:sz="4" w:space="0" w:color="000000"/>
              <w:bottom w:val="double" w:sz="4" w:space="0" w:color="000000"/>
              <w:right w:val="double" w:sz="4" w:space="0" w:color="000000"/>
            </w:tcBorders>
            <w:vAlign w:val="center"/>
          </w:tcPr>
          <w:p w14:paraId="57402F95" w14:textId="77777777" w:rsidR="003241FF" w:rsidRDefault="00AB23D9">
            <w:pPr>
              <w:spacing w:after="0" w:line="259" w:lineRule="auto"/>
              <w:ind w:left="5" w:right="0" w:firstLine="0"/>
              <w:jc w:val="both"/>
            </w:pPr>
            <w:r>
              <w:t xml:space="preserve">Dimensionality Red.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546E471C" w14:textId="77777777" w:rsidR="003241FF" w:rsidRDefault="00AB23D9">
            <w:pPr>
              <w:spacing w:after="0" w:line="259" w:lineRule="auto"/>
              <w:ind w:left="0" w:right="0" w:firstLine="0"/>
            </w:pPr>
            <w:r>
              <w:t xml:space="preserve">Visualize data in 2D  </w:t>
            </w:r>
          </w:p>
        </w:tc>
        <w:tc>
          <w:tcPr>
            <w:tcW w:w="1061" w:type="dxa"/>
            <w:tcBorders>
              <w:top w:val="double" w:sz="4" w:space="0" w:color="000000"/>
              <w:left w:val="double" w:sz="4" w:space="0" w:color="000000"/>
              <w:bottom w:val="double" w:sz="4" w:space="0" w:color="000000"/>
              <w:right w:val="double" w:sz="4" w:space="0" w:color="000000"/>
            </w:tcBorders>
          </w:tcPr>
          <w:p w14:paraId="25AAF12A" w14:textId="77777777" w:rsidR="003241FF" w:rsidRDefault="00AB23D9">
            <w:pPr>
              <w:spacing w:after="0" w:line="259" w:lineRule="auto"/>
              <w:ind w:left="5" w:right="0" w:firstLine="0"/>
            </w:pPr>
            <w:r>
              <w:t xml:space="preserve">21.5%  </w:t>
            </w:r>
          </w:p>
          <w:p w14:paraId="29F292A1" w14:textId="77777777" w:rsidR="003241FF" w:rsidRDefault="00AB23D9">
            <w:pPr>
              <w:spacing w:after="0" w:line="259" w:lineRule="auto"/>
              <w:ind w:left="5" w:right="0" w:firstLine="0"/>
            </w:pPr>
            <w:r>
              <w:t xml:space="preserve">Var  </w:t>
            </w:r>
          </w:p>
        </w:tc>
      </w:tr>
    </w:tbl>
    <w:p w14:paraId="65001D6C" w14:textId="77777777" w:rsidR="003241FF" w:rsidRDefault="00AB23D9">
      <w:pPr>
        <w:spacing w:after="330" w:line="259" w:lineRule="auto"/>
        <w:ind w:left="15" w:right="0" w:firstLine="0"/>
      </w:pPr>
      <w:r>
        <w:t xml:space="preserve">  </w:t>
      </w:r>
    </w:p>
    <w:p w14:paraId="5075A8ED" w14:textId="77777777" w:rsidR="003241FF" w:rsidRDefault="00AB23D9">
      <w:pPr>
        <w:pStyle w:val="Heading1"/>
        <w:ind w:left="-5"/>
      </w:pPr>
      <w:r>
        <w:t xml:space="preserve">11. Conclusion  </w:t>
      </w:r>
    </w:p>
    <w:p w14:paraId="4CDE6D21" w14:textId="77777777" w:rsidR="003241FF" w:rsidRDefault="00AB23D9">
      <w:pPr>
        <w:spacing w:after="268"/>
        <w:ind w:right="935"/>
      </w:pPr>
      <w:r>
        <w:t xml:space="preserve">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 Overall, the analysis confirms that air quality remains a pressing issue, and machine learning can effectively classify and cluster pollution patterns.  </w:t>
      </w:r>
    </w:p>
    <w:p w14:paraId="0C0D6D73" w14:textId="77777777" w:rsidR="003241FF" w:rsidRDefault="00AB23D9">
      <w:pPr>
        <w:spacing w:after="330" w:line="259" w:lineRule="auto"/>
        <w:ind w:left="15" w:right="0" w:firstLine="0"/>
      </w:pPr>
      <w:r>
        <w:t xml:space="preserve">  </w:t>
      </w:r>
    </w:p>
    <w:p w14:paraId="7A2C7BD0" w14:textId="77777777" w:rsidR="003241FF" w:rsidRDefault="00AB23D9">
      <w:pPr>
        <w:spacing w:after="173" w:line="259" w:lineRule="auto"/>
        <w:ind w:left="-5" w:right="0"/>
      </w:pPr>
      <w:r>
        <w:rPr>
          <w:b/>
          <w:sz w:val="28"/>
        </w:rPr>
        <w:t xml:space="preserve">12. GitHub Repository Link </w:t>
      </w:r>
      <w:r>
        <w:t xml:space="preserve"> </w:t>
      </w:r>
    </w:p>
    <w:p w14:paraId="146C7DEA" w14:textId="5324AB90" w:rsidR="00157B0C" w:rsidRDefault="00AB23D9" w:rsidP="00157B0C">
      <w:pPr>
        <w:spacing w:after="339" w:line="260" w:lineRule="auto"/>
        <w:ind w:left="-15" w:right="0" w:firstLine="0"/>
      </w:pPr>
      <w:r>
        <w:t>[DS Project Repository</w:t>
      </w:r>
      <w:r w:rsidR="0053228F">
        <w:t xml:space="preserve">]  </w:t>
      </w:r>
      <w:hyperlink r:id="rId13" w:history="1">
        <w:r w:rsidR="00FF1A46" w:rsidRPr="000C14AE">
          <w:rPr>
            <w:rStyle w:val="Hyperlink"/>
          </w:rPr>
          <w:t>https://github.com/usamakhanjan11-ship-it/AQI-Project.git</w:t>
        </w:r>
      </w:hyperlink>
      <w:r w:rsidR="00FF1A46">
        <w:t xml:space="preserve"> </w:t>
      </w:r>
    </w:p>
    <w:p w14:paraId="0F39DB10" w14:textId="2510E6A1" w:rsidR="003241FF" w:rsidRDefault="00AB23D9" w:rsidP="00157B0C">
      <w:pPr>
        <w:spacing w:after="339" w:line="260" w:lineRule="auto"/>
        <w:ind w:left="-15" w:right="0" w:firstLine="0"/>
      </w:pPr>
      <w:r>
        <w:t xml:space="preserve">13. References  </w:t>
      </w:r>
    </w:p>
    <w:p w14:paraId="3995AB36" w14:textId="77777777" w:rsidR="003241FF" w:rsidRDefault="00AB23D9">
      <w:pPr>
        <w:numPr>
          <w:ilvl w:val="0"/>
          <w:numId w:val="10"/>
        </w:numPr>
        <w:ind w:right="467" w:hanging="420"/>
      </w:pPr>
      <w:r>
        <w:t xml:space="preserve">Dataset source: [Global Urban Air Quality Index Dataset (2015– </w:t>
      </w:r>
    </w:p>
    <w:p w14:paraId="3DD60B83" w14:textId="77777777" w:rsidR="003241FF" w:rsidRDefault="00AB23D9">
      <w:pPr>
        <w:spacing w:after="36" w:line="246" w:lineRule="auto"/>
        <w:ind w:left="746" w:right="0"/>
      </w:pPr>
      <w:r>
        <w:t>2025)](</w:t>
      </w:r>
      <w:hyperlink r:id="rId14">
        <w:r>
          <w:rPr>
            <w:color w:val="0563C1"/>
            <w:u w:val="single" w:color="0563C1"/>
          </w:rPr>
          <w:t>https://www.kaggle.com/datasets/syedmtalhahasan/globa</w:t>
        </w:r>
      </w:hyperlink>
      <w:hyperlink r:id="rId15">
        <w:r>
          <w:rPr>
            <w:color w:val="0563C1"/>
            <w:u w:val="single" w:color="0563C1"/>
          </w:rPr>
          <w:t>l</w:t>
        </w:r>
      </w:hyperlink>
      <w:hyperlink r:id="rId16">
        <w:r>
          <w:rPr>
            <w:color w:val="0563C1"/>
            <w:u w:val="single" w:color="0563C1"/>
          </w:rPr>
          <w:t>-</w:t>
        </w:r>
      </w:hyperlink>
      <w:hyperlink r:id="rId17">
        <w:r>
          <w:rPr>
            <w:color w:val="0563C1"/>
            <w:u w:val="single" w:color="0563C1"/>
          </w:rPr>
          <w:t>urba</w:t>
        </w:r>
      </w:hyperlink>
      <w:hyperlink r:id="rId18">
        <w:r>
          <w:rPr>
            <w:color w:val="0563C1"/>
            <w:u w:val="single" w:color="0563C1"/>
          </w:rPr>
          <w:t>n</w:t>
        </w:r>
      </w:hyperlink>
      <w:hyperlink r:id="rId19">
        <w:r>
          <w:rPr>
            <w:color w:val="0563C1"/>
            <w:u w:val="single" w:color="0563C1"/>
          </w:rPr>
          <w:t>-</w:t>
        </w:r>
      </w:hyperlink>
      <w:hyperlink r:id="rId20">
        <w:r>
          <w:rPr>
            <w:color w:val="0563C1"/>
            <w:u w:val="single" w:color="0563C1"/>
          </w:rPr>
          <w:t>ai</w:t>
        </w:r>
      </w:hyperlink>
      <w:hyperlink r:id="rId21">
        <w:r>
          <w:rPr>
            <w:color w:val="0563C1"/>
            <w:u w:val="single" w:color="0563C1"/>
          </w:rPr>
          <w:t>r</w:t>
        </w:r>
      </w:hyperlink>
      <w:hyperlink r:id="rId22">
        <w:r>
          <w:rPr>
            <w:color w:val="0563C1"/>
            <w:u w:val="single" w:color="0563C1"/>
          </w:rPr>
          <w:t>-</w:t>
        </w:r>
      </w:hyperlink>
      <w:hyperlink r:id="rId23">
        <w:r>
          <w:rPr>
            <w:color w:val="0563C1"/>
            <w:u w:val="single" w:color="0563C1"/>
          </w:rPr>
          <w:t>qualit</w:t>
        </w:r>
      </w:hyperlink>
      <w:hyperlink r:id="rId24">
        <w:r>
          <w:rPr>
            <w:color w:val="0563C1"/>
            <w:u w:val="single" w:color="0563C1"/>
          </w:rPr>
          <w:t>yinde</w:t>
        </w:r>
      </w:hyperlink>
      <w:hyperlink r:id="rId25">
        <w:r>
          <w:rPr>
            <w:color w:val="0563C1"/>
            <w:u w:val="single" w:color="0563C1"/>
          </w:rPr>
          <w:t>x</w:t>
        </w:r>
      </w:hyperlink>
      <w:hyperlink r:id="rId26">
        <w:r>
          <w:rPr>
            <w:color w:val="0563C1"/>
            <w:u w:val="single" w:color="0563C1"/>
          </w:rPr>
          <w:t>-</w:t>
        </w:r>
      </w:hyperlink>
      <w:hyperlink r:id="rId27">
        <w:r>
          <w:rPr>
            <w:color w:val="0563C1"/>
            <w:u w:val="single" w:color="0563C1"/>
          </w:rPr>
          <w:t>datase</w:t>
        </w:r>
      </w:hyperlink>
      <w:hyperlink r:id="rId28">
        <w:r>
          <w:rPr>
            <w:color w:val="0563C1"/>
            <w:u w:val="single" w:color="0563C1"/>
          </w:rPr>
          <w:t>t</w:t>
        </w:r>
      </w:hyperlink>
      <w:hyperlink r:id="rId29"/>
      <w:hyperlink r:id="rId30">
        <w:r>
          <w:rPr>
            <w:color w:val="0563C1"/>
            <w:u w:val="single" w:color="0563C1"/>
          </w:rPr>
          <w:t>201</w:t>
        </w:r>
      </w:hyperlink>
      <w:hyperlink r:id="rId31">
        <w:r>
          <w:rPr>
            <w:color w:val="0563C1"/>
            <w:u w:val="single" w:color="0563C1"/>
          </w:rPr>
          <w:t>5</w:t>
        </w:r>
      </w:hyperlink>
      <w:hyperlink r:id="rId32">
        <w:r>
          <w:rPr>
            <w:color w:val="0563C1"/>
            <w:u w:val="single" w:color="0563C1"/>
          </w:rPr>
          <w:t>-</w:t>
        </w:r>
      </w:hyperlink>
      <w:hyperlink r:id="rId33">
        <w:r>
          <w:rPr>
            <w:color w:val="0563C1"/>
            <w:u w:val="single" w:color="0563C1"/>
          </w:rPr>
          <w:t>2025?resource=downloa</w:t>
        </w:r>
      </w:hyperlink>
      <w:hyperlink r:id="rId34">
        <w:r>
          <w:rPr>
            <w:color w:val="0563C1"/>
            <w:u w:val="single" w:color="0563C1"/>
          </w:rPr>
          <w:t>d</w:t>
        </w:r>
      </w:hyperlink>
      <w:hyperlink r:id="rId35">
        <w:r>
          <w:t xml:space="preserve">) </w:t>
        </w:r>
      </w:hyperlink>
      <w:r>
        <w:t xml:space="preserve"> </w:t>
      </w:r>
    </w:p>
    <w:p w14:paraId="578472B6" w14:textId="77777777" w:rsidR="003241FF" w:rsidRDefault="00AB23D9">
      <w:pPr>
        <w:numPr>
          <w:ilvl w:val="0"/>
          <w:numId w:val="10"/>
        </w:numPr>
        <w:spacing w:after="258" w:line="266" w:lineRule="auto"/>
        <w:ind w:right="467" w:hanging="420"/>
      </w:pPr>
      <w:r>
        <w:t xml:space="preserve">Libraries Used: </w:t>
      </w:r>
      <w:r>
        <w:rPr>
          <w:rFonts w:ascii="Calibri" w:eastAsia="Calibri" w:hAnsi="Calibri" w:cs="Calibri"/>
          <w:sz w:val="22"/>
        </w:rPr>
        <w:t>pandas, numpy, matplotlib, seaborn, warnings, scikit-learn (model_selection, preprocessing, impute, neighbors, naive_bayes, cluster, decomposition, metrics)</w:t>
      </w:r>
      <w:r>
        <w:t xml:space="preserve">  </w:t>
      </w:r>
    </w:p>
    <w:p w14:paraId="0F318CF5" w14:textId="77777777" w:rsidR="003241FF" w:rsidRDefault="00AB23D9">
      <w:pPr>
        <w:spacing w:after="245" w:line="259" w:lineRule="auto"/>
        <w:ind w:left="736" w:right="0" w:firstLine="0"/>
      </w:pPr>
      <w:r>
        <w:t xml:space="preserve">  </w:t>
      </w:r>
    </w:p>
    <w:p w14:paraId="7AF94880" w14:textId="77777777" w:rsidR="003241FF" w:rsidRDefault="00AB23D9">
      <w:pPr>
        <w:spacing w:after="0" w:line="259" w:lineRule="auto"/>
        <w:ind w:left="15" w:right="0" w:firstLine="0"/>
      </w:pPr>
      <w:r>
        <w:rPr>
          <w:rFonts w:ascii="Calibri" w:eastAsia="Calibri" w:hAnsi="Calibri" w:cs="Calibri"/>
          <w:sz w:val="22"/>
        </w:rPr>
        <w:t xml:space="preserve"> </w:t>
      </w:r>
      <w:r>
        <w:t xml:space="preserve"> </w:t>
      </w:r>
    </w:p>
    <w:sectPr w:rsidR="003241FF">
      <w:headerReference w:type="even" r:id="rId36"/>
      <w:headerReference w:type="default" r:id="rId37"/>
      <w:footerReference w:type="even" r:id="rId38"/>
      <w:footerReference w:type="default" r:id="rId39"/>
      <w:headerReference w:type="first" r:id="rId40"/>
      <w:footerReference w:type="first" r:id="rId41"/>
      <w:pgSz w:w="12240" w:h="15840"/>
      <w:pgMar w:top="1440" w:right="535" w:bottom="1564"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6C971" w14:textId="77777777" w:rsidR="00AB23D9" w:rsidRDefault="00AB23D9">
      <w:pPr>
        <w:spacing w:after="0" w:line="240" w:lineRule="auto"/>
      </w:pPr>
      <w:r>
        <w:separator/>
      </w:r>
    </w:p>
  </w:endnote>
  <w:endnote w:type="continuationSeparator" w:id="0">
    <w:p w14:paraId="55CB1C4C" w14:textId="77777777" w:rsidR="00AB23D9" w:rsidRDefault="00AB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F620"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CBFCE5" wp14:editId="69B1DA3F">
              <wp:simplePos x="0" y="0"/>
              <wp:positionH relativeFrom="page">
                <wp:posOffset>304800</wp:posOffset>
              </wp:positionH>
              <wp:positionV relativeFrom="page">
                <wp:posOffset>9748520</wp:posOffset>
              </wp:positionV>
              <wp:extent cx="7167119" cy="8573"/>
              <wp:effectExtent l="0" t="0" r="0" b="0"/>
              <wp:wrapSquare wrapText="bothSides"/>
              <wp:docPr id="8343" name="Group 834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604" name="Shape 8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5" name="Shape 860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3" style="width:564.34pt;height:0.675049pt;position:absolute;mso-position-horizontal-relative:page;mso-position-horizontal:absolute;margin-left:24pt;mso-position-vertical-relative:page;margin-top:767.6pt;" coordsize="71671,85">
              <v:shape id="Shape 8607" style="position:absolute;width:91;height:91;left:0;top:0;" coordsize="9144,9144" path="m0,0l9144,0l9144,9144l0,9144l0,0">
                <v:stroke weight="0pt" endcap="flat" joinstyle="miter" miterlimit="10" on="false" color="#000000" opacity="0"/>
                <v:fill on="true" color="#000000"/>
              </v:shape>
              <v:shape id="Shape 8608" style="position:absolute;width:71518;height:91;left:60;top:0;" coordsize="7151878,9144" path="m0,0l7151878,0l7151878,9144l0,9144l0,0">
                <v:stroke weight="0pt" endcap="flat" joinstyle="miter" miterlimit="10" on="false" color="#000000" opacity="0"/>
                <v:fill on="true" color="#000000"/>
              </v:shape>
              <v:shape id="Shape 860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DADF"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0E82CB" wp14:editId="32BC92C5">
              <wp:simplePos x="0" y="0"/>
              <wp:positionH relativeFrom="page">
                <wp:posOffset>304800</wp:posOffset>
              </wp:positionH>
              <wp:positionV relativeFrom="page">
                <wp:posOffset>9748520</wp:posOffset>
              </wp:positionV>
              <wp:extent cx="7167119" cy="8573"/>
              <wp:effectExtent l="0" t="0" r="0" b="0"/>
              <wp:wrapSquare wrapText="bothSides"/>
              <wp:docPr id="8317" name="Group 831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8" name="Shape 8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 name="Shape 859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0" name="Shape 860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7" style="width:564.34pt;height:0.675049pt;position:absolute;mso-position-horizontal-relative:page;mso-position-horizontal:absolute;margin-left:24pt;mso-position-vertical-relative:page;margin-top:767.6pt;" coordsize="71671,85">
              <v:shape id="Shape 8601" style="position:absolute;width:91;height:91;left:0;top:0;" coordsize="9144,9144" path="m0,0l9144,0l9144,9144l0,9144l0,0">
                <v:stroke weight="0pt" endcap="flat" joinstyle="miter" miterlimit="10" on="false" color="#000000" opacity="0"/>
                <v:fill on="true" color="#000000"/>
              </v:shape>
              <v:shape id="Shape 8602" style="position:absolute;width:71518;height:91;left:60;top:0;" coordsize="7151878,9144" path="m0,0l7151878,0l7151878,9144l0,9144l0,0">
                <v:stroke weight="0pt" endcap="flat" joinstyle="miter" miterlimit="10" on="false" color="#000000" opacity="0"/>
                <v:fill on="true" color="#000000"/>
              </v:shape>
              <v:shape id="Shape 860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E065"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C722EB" wp14:editId="2D938570">
              <wp:simplePos x="0" y="0"/>
              <wp:positionH relativeFrom="page">
                <wp:posOffset>304800</wp:posOffset>
              </wp:positionH>
              <wp:positionV relativeFrom="page">
                <wp:posOffset>9748520</wp:posOffset>
              </wp:positionV>
              <wp:extent cx="7167119" cy="8573"/>
              <wp:effectExtent l="0" t="0" r="0" b="0"/>
              <wp:wrapSquare wrapText="bothSides"/>
              <wp:docPr id="8291" name="Group 829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2" name="Shape 8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 name="Shape 859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 name="Shape 859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1" style="width:564.34pt;height:0.675049pt;position:absolute;mso-position-horizontal-relative:page;mso-position-horizontal:absolute;margin-left:24pt;mso-position-vertical-relative:page;margin-top:767.6pt;" coordsize="71671,85">
              <v:shape id="Shape 8595" style="position:absolute;width:91;height:91;left:0;top:0;" coordsize="9144,9144" path="m0,0l9144,0l9144,9144l0,9144l0,0">
                <v:stroke weight="0pt" endcap="flat" joinstyle="miter" miterlimit="10" on="false" color="#000000" opacity="0"/>
                <v:fill on="true" color="#000000"/>
              </v:shape>
              <v:shape id="Shape 8596" style="position:absolute;width:71518;height:91;left:60;top:0;" coordsize="7151878,9144" path="m0,0l7151878,0l7151878,9144l0,9144l0,0">
                <v:stroke weight="0pt" endcap="flat" joinstyle="miter" miterlimit="10" on="false" color="#000000" opacity="0"/>
                <v:fill on="true" color="#000000"/>
              </v:shape>
              <v:shape id="Shape 859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5DA1" w14:textId="77777777" w:rsidR="00AB23D9" w:rsidRDefault="00AB23D9">
      <w:pPr>
        <w:spacing w:after="0" w:line="240" w:lineRule="auto"/>
      </w:pPr>
      <w:r>
        <w:separator/>
      </w:r>
    </w:p>
  </w:footnote>
  <w:footnote w:type="continuationSeparator" w:id="0">
    <w:p w14:paraId="5CAB2C90" w14:textId="77777777" w:rsidR="00AB23D9" w:rsidRDefault="00AB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6439"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18CA45" wp14:editId="5714917B">
              <wp:simplePos x="0" y="0"/>
              <wp:positionH relativeFrom="page">
                <wp:posOffset>304800</wp:posOffset>
              </wp:positionH>
              <wp:positionV relativeFrom="page">
                <wp:posOffset>304800</wp:posOffset>
              </wp:positionV>
              <wp:extent cx="7167119" cy="8636"/>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82" name="Shape 85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 name="Shape 858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4" name="Shape 858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7" style="width:564.34pt;height:0.679993pt;position:absolute;mso-position-horizontal-relative:page;mso-position-horizontal:absolute;margin-left:24pt;mso-position-vertical-relative:page;margin-top:24pt;" coordsize="71671,86">
              <v:shape id="Shape 8585" style="position:absolute;width:91;height:91;left:0;top:0;" coordsize="9144,9144" path="m0,0l9144,0l9144,9144l0,9144l0,0">
                <v:stroke weight="0pt" endcap="flat" joinstyle="miter" miterlimit="10" on="false" color="#000000" opacity="0"/>
                <v:fill on="true" color="#000000"/>
              </v:shape>
              <v:shape id="Shape 8586" style="position:absolute;width:71518;height:91;left:60;top:0;" coordsize="7151878,9144" path="m0,0l7151878,0l7151878,9144l0,9144l0,0">
                <v:stroke weight="0pt" endcap="flat" joinstyle="miter" miterlimit="10" on="false" color="#000000" opacity="0"/>
                <v:fill on="true" color="#000000"/>
              </v:shape>
              <v:shape id="Shape 858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A20BF23" w14:textId="77777777" w:rsidR="003241FF" w:rsidRDefault="00AB23D9">
    <w:pPr>
      <w:spacing w:after="0" w:line="259" w:lineRule="auto"/>
      <w:ind w:left="15" w:right="0" w:firstLine="0"/>
    </w:pPr>
    <w:r>
      <w:t xml:space="preserve"> </w:t>
    </w:r>
  </w:p>
  <w:p w14:paraId="05519928" w14:textId="77777777" w:rsidR="003241FF" w:rsidRDefault="00AB23D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1E0269" wp14:editId="594F511B">
              <wp:simplePos x="0" y="0"/>
              <wp:positionH relativeFrom="page">
                <wp:posOffset>304800</wp:posOffset>
              </wp:positionH>
              <wp:positionV relativeFrom="page">
                <wp:posOffset>310515</wp:posOffset>
              </wp:positionV>
              <wp:extent cx="7167119" cy="9438005"/>
              <wp:effectExtent l="0" t="0" r="0" b="0"/>
              <wp:wrapNone/>
              <wp:docPr id="8334" name="Group 833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88" name="Shape 858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9" name="Shape 858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4" style="width:564.34pt;height:743.15pt;position:absolute;z-index:-2147483648;mso-position-horizontal-relative:page;mso-position-horizontal:absolute;margin-left:24pt;mso-position-vertical-relative:page;margin-top:24.45pt;" coordsize="71671,94380">
              <v:shape id="Shape 8590" style="position:absolute;width:91;height:94380;left:0;top:0;" coordsize="9144,9438005" path="m0,0l9144,0l9144,9438005l0,9438005l0,0">
                <v:stroke weight="0pt" endcap="flat" joinstyle="miter" miterlimit="10" on="false" color="#000000" opacity="0"/>
                <v:fill on="true" color="#000000"/>
              </v:shape>
              <v:shape id="Shape 859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C82E"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E76647" wp14:editId="124B9A19">
              <wp:simplePos x="0" y="0"/>
              <wp:positionH relativeFrom="page">
                <wp:posOffset>304800</wp:posOffset>
              </wp:positionH>
              <wp:positionV relativeFrom="page">
                <wp:posOffset>304800</wp:posOffset>
              </wp:positionV>
              <wp:extent cx="7167119" cy="8636"/>
              <wp:effectExtent l="0" t="0" r="0" b="0"/>
              <wp:wrapSquare wrapText="bothSides"/>
              <wp:docPr id="8301" name="Group 830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72" name="Shape 85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3" name="Shape 857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4" name="Shape 857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1" style="width:564.34pt;height:0.679993pt;position:absolute;mso-position-horizontal-relative:page;mso-position-horizontal:absolute;margin-left:24pt;mso-position-vertical-relative:page;margin-top:24pt;" coordsize="71671,86">
              <v:shape id="Shape 8575" style="position:absolute;width:91;height:91;left:0;top:0;" coordsize="9144,9144" path="m0,0l9144,0l9144,9144l0,9144l0,0">
                <v:stroke weight="0pt" endcap="flat" joinstyle="miter" miterlimit="10" on="false" color="#000000" opacity="0"/>
                <v:fill on="true" color="#000000"/>
              </v:shape>
              <v:shape id="Shape 8576" style="position:absolute;width:71518;height:91;left:60;top:0;" coordsize="7151878,9144" path="m0,0l7151878,0l7151878,9144l0,9144l0,0">
                <v:stroke weight="0pt" endcap="flat" joinstyle="miter" miterlimit="10" on="false" color="#000000" opacity="0"/>
                <v:fill on="true" color="#000000"/>
              </v:shape>
              <v:shape id="Shape 857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E155578" w14:textId="77777777" w:rsidR="003241FF" w:rsidRDefault="00AB23D9">
    <w:pPr>
      <w:spacing w:after="0" w:line="259" w:lineRule="auto"/>
      <w:ind w:left="15" w:right="0" w:firstLine="0"/>
    </w:pPr>
    <w:r>
      <w:t xml:space="preserve"> </w:t>
    </w:r>
  </w:p>
  <w:p w14:paraId="037C9E63" w14:textId="77777777" w:rsidR="003241FF" w:rsidRDefault="00AB23D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635E8F" wp14:editId="742F9DF7">
              <wp:simplePos x="0" y="0"/>
              <wp:positionH relativeFrom="page">
                <wp:posOffset>304800</wp:posOffset>
              </wp:positionH>
              <wp:positionV relativeFrom="page">
                <wp:posOffset>310515</wp:posOffset>
              </wp:positionV>
              <wp:extent cx="7167119" cy="9438005"/>
              <wp:effectExtent l="0" t="0" r="0" b="0"/>
              <wp:wrapNone/>
              <wp:docPr id="8308" name="Group 830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78" name="Shape 857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 name="Shape 857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8" style="width:564.34pt;height:743.15pt;position:absolute;z-index:-2147483648;mso-position-horizontal-relative:page;mso-position-horizontal:absolute;margin-left:24pt;mso-position-vertical-relative:page;margin-top:24.45pt;" coordsize="71671,94380">
              <v:shape id="Shape 8580" style="position:absolute;width:91;height:94380;left:0;top:0;" coordsize="9144,9438005" path="m0,0l9144,0l9144,9438005l0,9438005l0,0">
                <v:stroke weight="0pt" endcap="flat" joinstyle="miter" miterlimit="10" on="false" color="#000000" opacity="0"/>
                <v:fill on="true" color="#000000"/>
              </v:shape>
              <v:shape id="Shape 858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1781"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574E0F" wp14:editId="3B5A5BA8">
              <wp:simplePos x="0" y="0"/>
              <wp:positionH relativeFrom="page">
                <wp:posOffset>304800</wp:posOffset>
              </wp:positionH>
              <wp:positionV relativeFrom="page">
                <wp:posOffset>304800</wp:posOffset>
              </wp:positionV>
              <wp:extent cx="7167119" cy="8636"/>
              <wp:effectExtent l="0" t="0" r="0" b="0"/>
              <wp:wrapSquare wrapText="bothSides"/>
              <wp:docPr id="8275" name="Group 827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62" name="Shape 85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3" name="Shape 856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4" name="Shape 856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5" style="width:564.34pt;height:0.679993pt;position:absolute;mso-position-horizontal-relative:page;mso-position-horizontal:absolute;margin-left:24pt;mso-position-vertical-relative:page;margin-top:24pt;" coordsize="71671,86">
              <v:shape id="Shape 8565" style="position:absolute;width:91;height:91;left:0;top:0;" coordsize="9144,9144" path="m0,0l9144,0l9144,9144l0,9144l0,0">
                <v:stroke weight="0pt" endcap="flat" joinstyle="miter" miterlimit="10" on="false" color="#000000" opacity="0"/>
                <v:fill on="true" color="#000000"/>
              </v:shape>
              <v:shape id="Shape 8566" style="position:absolute;width:71518;height:91;left:60;top:0;" coordsize="7151878,9144" path="m0,0l7151878,0l7151878,9144l0,9144l0,0">
                <v:stroke weight="0pt" endcap="flat" joinstyle="miter" miterlimit="10" on="false" color="#000000" opacity="0"/>
                <v:fill on="true" color="#000000"/>
              </v:shape>
              <v:shape id="Shape 856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4F9131" w14:textId="77777777" w:rsidR="003241FF" w:rsidRDefault="00AB23D9">
    <w:pPr>
      <w:spacing w:after="0" w:line="259" w:lineRule="auto"/>
      <w:ind w:left="15" w:right="0" w:firstLine="0"/>
    </w:pPr>
    <w:r>
      <w:t xml:space="preserve"> </w:t>
    </w:r>
  </w:p>
  <w:p w14:paraId="2A820322" w14:textId="77777777" w:rsidR="003241FF" w:rsidRDefault="00AB23D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7B1D71" wp14:editId="5225309F">
              <wp:simplePos x="0" y="0"/>
              <wp:positionH relativeFrom="page">
                <wp:posOffset>304800</wp:posOffset>
              </wp:positionH>
              <wp:positionV relativeFrom="page">
                <wp:posOffset>310515</wp:posOffset>
              </wp:positionV>
              <wp:extent cx="7167119" cy="9438005"/>
              <wp:effectExtent l="0" t="0" r="0" b="0"/>
              <wp:wrapNone/>
              <wp:docPr id="8282" name="Group 828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68" name="Shape 856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9" name="Shape 856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2" style="width:564.34pt;height:743.15pt;position:absolute;z-index:-2147483648;mso-position-horizontal-relative:page;mso-position-horizontal:absolute;margin-left:24pt;mso-position-vertical-relative:page;margin-top:24.45pt;" coordsize="71671,94380">
              <v:shape id="Shape 8570" style="position:absolute;width:91;height:94380;left:0;top:0;" coordsize="9144,9438005" path="m0,0l9144,0l9144,9438005l0,9438005l0,0">
                <v:stroke weight="0pt" endcap="flat" joinstyle="miter" miterlimit="10" on="false" color="#000000" opacity="0"/>
                <v:fill on="true" color="#000000"/>
              </v:shape>
              <v:shape id="Shape 857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11B"/>
    <w:multiLevelType w:val="hybridMultilevel"/>
    <w:tmpl w:val="FFFFFFFF"/>
    <w:lvl w:ilvl="0" w:tplc="C5E43266">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C1E94">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3872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4C49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C0F54">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4B20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A24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E44A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381366">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41C32"/>
    <w:multiLevelType w:val="hybridMultilevel"/>
    <w:tmpl w:val="FFFFFFFF"/>
    <w:lvl w:ilvl="0" w:tplc="C65EA4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215E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60BCC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8425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2C54C">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B21F9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0245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72A9C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07DC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1C1105"/>
    <w:multiLevelType w:val="hybridMultilevel"/>
    <w:tmpl w:val="FFFFFFFF"/>
    <w:lvl w:ilvl="0" w:tplc="213A362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2FE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E84B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2F1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4D07E">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A861A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208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01C8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86679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CC7A1C"/>
    <w:multiLevelType w:val="hybridMultilevel"/>
    <w:tmpl w:val="FFFFFFFF"/>
    <w:lvl w:ilvl="0" w:tplc="9D6225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420BC">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EC18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16ED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980D58">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2AD62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24AE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C7AEE">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5E62D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B5496E"/>
    <w:multiLevelType w:val="hybridMultilevel"/>
    <w:tmpl w:val="FFFFFFFF"/>
    <w:lvl w:ilvl="0" w:tplc="8EFE4E5A">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A14D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64530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96E4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6F64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6BBA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3C50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C1C9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EE3E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C25ADC"/>
    <w:multiLevelType w:val="hybridMultilevel"/>
    <w:tmpl w:val="FFFFFFFF"/>
    <w:lvl w:ilvl="0" w:tplc="C6540B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A31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BEFB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7A84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281E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05BE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D841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AD89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E88C4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0A1EB7"/>
    <w:multiLevelType w:val="hybridMultilevel"/>
    <w:tmpl w:val="FFFFFFFF"/>
    <w:lvl w:ilvl="0" w:tplc="0510ABF8">
      <w:start w:val="1"/>
      <w:numFmt w:val="bullet"/>
      <w:lvlText w:val="•"/>
      <w:lvlJc w:val="left"/>
      <w:pPr>
        <w:ind w:left="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0F130">
      <w:start w:val="1"/>
      <w:numFmt w:val="bullet"/>
      <w:lvlText w:val="o"/>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8AF122">
      <w:start w:val="1"/>
      <w:numFmt w:val="bullet"/>
      <w:lvlText w:val="▪"/>
      <w:lvlJc w:val="left"/>
      <w:pPr>
        <w:ind w:left="2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38340C">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A2034">
      <w:start w:val="1"/>
      <w:numFmt w:val="bullet"/>
      <w:lvlText w:val="o"/>
      <w:lvlJc w:val="left"/>
      <w:pPr>
        <w:ind w:left="3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E6C9E8">
      <w:start w:val="1"/>
      <w:numFmt w:val="bullet"/>
      <w:lvlText w:val="▪"/>
      <w:lvlJc w:val="left"/>
      <w:pPr>
        <w:ind w:left="4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3A84A0">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6E330">
      <w:start w:val="1"/>
      <w:numFmt w:val="bullet"/>
      <w:lvlText w:val="o"/>
      <w:lvlJc w:val="left"/>
      <w:pPr>
        <w:ind w:left="5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674D6">
      <w:start w:val="1"/>
      <w:numFmt w:val="bullet"/>
      <w:lvlText w:val="▪"/>
      <w:lvlJc w:val="left"/>
      <w:pPr>
        <w:ind w:left="6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AF744B0"/>
    <w:multiLevelType w:val="hybridMultilevel"/>
    <w:tmpl w:val="FFFFFFFF"/>
    <w:lvl w:ilvl="0" w:tplc="BC4A16FE">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CB8C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82BE9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9033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0D4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5864D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467D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AFCA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C4CC5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7F4DDA"/>
    <w:multiLevelType w:val="hybridMultilevel"/>
    <w:tmpl w:val="FFFFFFFF"/>
    <w:lvl w:ilvl="0" w:tplc="BDA4EAD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232A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EF0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B6C4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20270">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5662D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D0A8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0AC4C">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224A1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042E2B"/>
    <w:multiLevelType w:val="hybridMultilevel"/>
    <w:tmpl w:val="FFFFFFFF"/>
    <w:lvl w:ilvl="0" w:tplc="C0FE77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65236">
      <w:start w:val="1"/>
      <w:numFmt w:val="bullet"/>
      <w:lvlText w:val="o"/>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48BDA2">
      <w:start w:val="1"/>
      <w:numFmt w:val="bullet"/>
      <w:lvlText w:val="▪"/>
      <w:lvlJc w:val="left"/>
      <w:pPr>
        <w:ind w:left="2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AC4624">
      <w:start w:val="1"/>
      <w:numFmt w:val="bullet"/>
      <w:lvlText w:val="•"/>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C4524">
      <w:start w:val="1"/>
      <w:numFmt w:val="bullet"/>
      <w:lvlText w:val="o"/>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F8AC26">
      <w:start w:val="1"/>
      <w:numFmt w:val="bullet"/>
      <w:lvlText w:val="▪"/>
      <w:lvlJc w:val="left"/>
      <w:pPr>
        <w:ind w:left="4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AE057E">
      <w:start w:val="1"/>
      <w:numFmt w:val="bullet"/>
      <w:lvlText w:val="•"/>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4089E">
      <w:start w:val="1"/>
      <w:numFmt w:val="bullet"/>
      <w:lvlText w:val="o"/>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94317E">
      <w:start w:val="1"/>
      <w:numFmt w:val="bullet"/>
      <w:lvlText w:val="▪"/>
      <w:lvlJc w:val="left"/>
      <w:pPr>
        <w:ind w:left="6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67704159">
    <w:abstractNumId w:val="5"/>
  </w:num>
  <w:num w:numId="2" w16cid:durableId="1501236018">
    <w:abstractNumId w:val="1"/>
  </w:num>
  <w:num w:numId="3" w16cid:durableId="974723586">
    <w:abstractNumId w:val="7"/>
  </w:num>
  <w:num w:numId="4" w16cid:durableId="1945114474">
    <w:abstractNumId w:val="3"/>
  </w:num>
  <w:num w:numId="5" w16cid:durableId="359552655">
    <w:abstractNumId w:val="9"/>
  </w:num>
  <w:num w:numId="6" w16cid:durableId="1990474785">
    <w:abstractNumId w:val="4"/>
  </w:num>
  <w:num w:numId="7" w16cid:durableId="1172067591">
    <w:abstractNumId w:val="2"/>
  </w:num>
  <w:num w:numId="8" w16cid:durableId="111217253">
    <w:abstractNumId w:val="0"/>
  </w:num>
  <w:num w:numId="9" w16cid:durableId="407383471">
    <w:abstractNumId w:val="8"/>
  </w:num>
  <w:num w:numId="10" w16cid:durableId="2102945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FF"/>
    <w:rsid w:val="00157B0C"/>
    <w:rsid w:val="00201C87"/>
    <w:rsid w:val="003241FF"/>
    <w:rsid w:val="0033726C"/>
    <w:rsid w:val="004C62F0"/>
    <w:rsid w:val="0053228F"/>
    <w:rsid w:val="00556239"/>
    <w:rsid w:val="006306FD"/>
    <w:rsid w:val="0064375C"/>
    <w:rsid w:val="00717AFD"/>
    <w:rsid w:val="008231D9"/>
    <w:rsid w:val="00AB23D9"/>
    <w:rsid w:val="00E66EA8"/>
    <w:rsid w:val="00F9726A"/>
    <w:rsid w:val="00FF1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C45322"/>
  <w15:docId w15:val="{C8EEB9DD-98A4-ED4E-B2E4-B760A522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3" w:lineRule="auto"/>
      <w:ind w:left="25" w:right="314"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73"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6EA8"/>
    <w:rPr>
      <w:color w:val="467886" w:themeColor="hyperlink"/>
      <w:u w:val="single"/>
    </w:rPr>
  </w:style>
  <w:style w:type="character" w:styleId="UnresolvedMention">
    <w:name w:val="Unresolved Mention"/>
    <w:basedOn w:val="DefaultParagraphFont"/>
    <w:uiPriority w:val="99"/>
    <w:semiHidden/>
    <w:unhideWhenUsed/>
    <w:rsid w:val="00E66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yperlink" Target="https://github.com/usamakhanjan11-ship-it/AQI-Project.git" TargetMode="External" /><Relationship Id="rId18" Type="http://schemas.openxmlformats.org/officeDocument/2006/relationships/hyperlink" Target="https://www.kaggle.com/datasets/syedmtalhahasan/global-urban-air-quality-index-dataset-2015-2025?resource=download" TargetMode="External" /><Relationship Id="rId26" Type="http://schemas.openxmlformats.org/officeDocument/2006/relationships/hyperlink" Target="https://www.kaggle.com/datasets/syedmtalhahasan/global-urban-air-quality-index-dataset-2015-2025?resource=download" TargetMode="External" /><Relationship Id="rId39"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hyperlink" Target="https://www.kaggle.com/datasets/syedmtalhahasan/global-urban-air-quality-index-dataset-2015-2025?resource=download" TargetMode="External" /><Relationship Id="rId34" Type="http://schemas.openxmlformats.org/officeDocument/2006/relationships/hyperlink" Target="https://www.kaggle.com/datasets/syedmtalhahasan/global-urban-air-quality-index-dataset-2015-2025?resource=download" TargetMode="External" /><Relationship Id="rId42" Type="http://schemas.openxmlformats.org/officeDocument/2006/relationships/fontTable" Target="fontTable.xml" /><Relationship Id="rId7" Type="http://schemas.openxmlformats.org/officeDocument/2006/relationships/hyperlink" Target="https://github.com/usamakhanjan11-ship-it/AQI-Project.git" TargetMode="External" /><Relationship Id="rId12" Type="http://schemas.openxmlformats.org/officeDocument/2006/relationships/image" Target="media/image5.jpg" /><Relationship Id="rId17" Type="http://schemas.openxmlformats.org/officeDocument/2006/relationships/hyperlink" Target="https://www.kaggle.com/datasets/syedmtalhahasan/global-urban-air-quality-index-dataset-2015-2025?resource=download" TargetMode="External" /><Relationship Id="rId25" Type="http://schemas.openxmlformats.org/officeDocument/2006/relationships/hyperlink" Target="https://www.kaggle.com/datasets/syedmtalhahasan/global-urban-air-quality-index-dataset-2015-2025?resource=download" TargetMode="External" /><Relationship Id="rId33" Type="http://schemas.openxmlformats.org/officeDocument/2006/relationships/hyperlink" Target="https://www.kaggle.com/datasets/syedmtalhahasan/global-urban-air-quality-index-dataset-2015-2025?resource=download" TargetMode="External" /><Relationship Id="rId38" Type="http://schemas.openxmlformats.org/officeDocument/2006/relationships/footer" Target="footer1.xml" /><Relationship Id="rId2" Type="http://schemas.openxmlformats.org/officeDocument/2006/relationships/styles" Target="styles.xml" /><Relationship Id="rId16" Type="http://schemas.openxmlformats.org/officeDocument/2006/relationships/hyperlink" Target="https://www.kaggle.com/datasets/syedmtalhahasan/global-urban-air-quality-index-dataset-2015-2025?resource=download" TargetMode="External" /><Relationship Id="rId20" Type="http://schemas.openxmlformats.org/officeDocument/2006/relationships/hyperlink" Target="https://www.kaggle.com/datasets/syedmtalhahasan/global-urban-air-quality-index-dataset-2015-2025?resource=download" TargetMode="External" /><Relationship Id="rId29" Type="http://schemas.openxmlformats.org/officeDocument/2006/relationships/hyperlink" Target="https://www.kaggle.com/datasets/syedmtalhahasan/global-urban-air-quality-index-dataset-2015-2025?resource=download" TargetMode="External" /><Relationship Id="rId41"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g" /><Relationship Id="rId24" Type="http://schemas.openxmlformats.org/officeDocument/2006/relationships/hyperlink" Target="https://www.kaggle.com/datasets/syedmtalhahasan/global-urban-air-quality-index-dataset-2015-2025?resource=download" TargetMode="External" /><Relationship Id="rId32" Type="http://schemas.openxmlformats.org/officeDocument/2006/relationships/hyperlink" Target="https://www.kaggle.com/datasets/syedmtalhahasan/global-urban-air-quality-index-dataset-2015-2025?resource=download" TargetMode="External" /><Relationship Id="rId37" Type="http://schemas.openxmlformats.org/officeDocument/2006/relationships/header" Target="header2.xml" /><Relationship Id="rId40"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hyperlink" Target="https://www.kaggle.com/datasets/syedmtalhahasan/global-urban-air-quality-index-dataset-2015-2025?resource=download" TargetMode="External" /><Relationship Id="rId23" Type="http://schemas.openxmlformats.org/officeDocument/2006/relationships/hyperlink" Target="https://www.kaggle.com/datasets/syedmtalhahasan/global-urban-air-quality-index-dataset-2015-2025?resource=download" TargetMode="External" /><Relationship Id="rId28" Type="http://schemas.openxmlformats.org/officeDocument/2006/relationships/hyperlink" Target="https://www.kaggle.com/datasets/syedmtalhahasan/global-urban-air-quality-index-dataset-2015-2025?resource=download" TargetMode="External" /><Relationship Id="rId36" Type="http://schemas.openxmlformats.org/officeDocument/2006/relationships/header" Target="header1.xml" /><Relationship Id="rId10" Type="http://schemas.openxmlformats.org/officeDocument/2006/relationships/image" Target="media/image3.jpg" /><Relationship Id="rId19" Type="http://schemas.openxmlformats.org/officeDocument/2006/relationships/hyperlink" Target="https://www.kaggle.com/datasets/syedmtalhahasan/global-urban-air-quality-index-dataset-2015-2025?resource=download" TargetMode="External" /><Relationship Id="rId31" Type="http://schemas.openxmlformats.org/officeDocument/2006/relationships/hyperlink" Target="https://www.kaggle.com/datasets/syedmtalhahasan/global-urban-air-quality-index-dataset-2015-2025?resource=download" TargetMode="External"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hyperlink" Target="https://www.kaggle.com/datasets/syedmtalhahasan/global-urban-air-quality-index-dataset-2015-2025?resource=download" TargetMode="External" /><Relationship Id="rId22" Type="http://schemas.openxmlformats.org/officeDocument/2006/relationships/hyperlink" Target="https://www.kaggle.com/datasets/syedmtalhahasan/global-urban-air-quality-index-dataset-2015-2025?resource=download" TargetMode="External" /><Relationship Id="rId27" Type="http://schemas.openxmlformats.org/officeDocument/2006/relationships/hyperlink" Target="https://www.kaggle.com/datasets/syedmtalhahasan/global-urban-air-quality-index-dataset-2015-2025?resource=download" TargetMode="External" /><Relationship Id="rId30" Type="http://schemas.openxmlformats.org/officeDocument/2006/relationships/hyperlink" Target="https://www.kaggle.com/datasets/syedmtalhahasan/global-urban-air-quality-index-dataset-2015-2025?resource=download" TargetMode="External" /><Relationship Id="rId35" Type="http://schemas.openxmlformats.org/officeDocument/2006/relationships/hyperlink" Target="https://www.kaggle.com/datasets/syedmtalhahasan/global-urban-air-quality-index-dataset-2015-2025?resource=download" TargetMode="External"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1446</Words>
  <Characters>8244</Characters>
  <Application>Microsoft Office Word</Application>
  <DocSecurity>0</DocSecurity>
  <Lines>68</Lines>
  <Paragraphs>19</Paragraphs>
  <ScaleCrop>false</ScaleCrop>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Zainub Hassan</dc:creator>
  <cp:keywords/>
  <cp:lastModifiedBy>Guest User</cp:lastModifiedBy>
  <cp:revision>2</cp:revision>
  <dcterms:created xsi:type="dcterms:W3CDTF">2026-05-12T17:22:00Z</dcterms:created>
  <dcterms:modified xsi:type="dcterms:W3CDTF">2026-05-12T17:22:00Z</dcterms:modified>
</cp:coreProperties>
</file>