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0"/>
          <w:szCs w:val="20"/>
        </w:rPr>
        <w:t xml:space="preserve">PENTESTHUB AI</w:t>
      </w:r>
    </w:p>
    <w:p>
      <w:pPr>
        <w:spacing w:after="60"/>
      </w:pPr>
      <w:r>
        <w:rPr>
          <w:b/>
          <w:bCs/>
          <w:color w:val="1F2937"/>
          <w:sz w:val="40"/>
          <w:szCs w:val="40"/>
        </w:rPr>
        <w:t xml:space="preserve">Module 15 — Yakuniy Hisobot</w:t>
      </w:r>
    </w:p>
    <w:p>
      <w:pPr>
        <w:spacing w:after="40"/>
      </w:pPr>
      <w:r>
        <w:rPr>
          <w:i/>
          <w:iCs/>
          <w:color w:val="2563EB"/>
          <w:sz w:val="24"/>
          <w:szCs w:val="24"/>
        </w:rPr>
        <w:t xml:space="preserve">Production Hardening, Monetization &amp; Marketplace</w:t>
      </w:r>
    </w:p>
    <w:p>
      <w:pPr>
        <w:spacing w:after="300"/>
      </w:pPr>
      <w:r>
        <w:rPr>
          <w:color w:val="6B7280"/>
          <w:sz w:val="19"/>
          <w:szCs w:val="19"/>
        </w:rPr>
        <w:t xml:space="preserve">Sana: 2026-08-15    |    Holat: manba darajasida to'liq (source-complete)    |    Commit: fc90106</w:t>
      </w:r>
    </w:p>
    <w:p>
      <w:pPr>
        <w:pBdr>
          <w:bottom w:val="single" w:color="D1D5DB" w:sz="6" w:space="1"/>
        </w:pBdr>
        <w:spacing w:after="200"/>
      </w:pPr>
    </w:p>
    <w:p>
      <w:pPr>
        <w:pStyle w:val="Heading1"/>
        <w:spacing w:after="160" w:before="360"/>
      </w:pPr>
      <w:r>
        <w:rPr>
          <w:b/>
          <w:bCs/>
          <w:color w:val="1F2937"/>
          <w:sz w:val="30"/>
          <w:szCs w:val="30"/>
        </w:rPr>
        <w:t xml:space="preserve">1. Qisqacha xulosa</w:t>
      </w:r>
    </w:p>
    <w:p>
      <w:pPr>
        <w:spacing w:after="140" w:line="300"/>
      </w:pPr>
      <w:r>
        <w:rPr>
          <w:sz w:val="21"/>
          <w:szCs w:val="21"/>
        </w:rPr>
        <w:t xml:space="preserve">Module 15 — platformaning ishlab chiqarishga tayyorlik, monetizatsiya va marketplace bosqichi — to'liq yakunlandi. Jami 43 ta vazifa (#324–#366) bajarildi, shundan 41 tasi “bajarildi” holatida, 1 tasi (Billing UI, #332) alohida kuzatilib, ataylab kechiktirilgan. Barcha o'zgarishlar bitta commitga (fc90106) yig'ildi va git tarixiga yozildi. Ushbu hisobot nima qurilgani, qanday tekshirilgani va nima hali ochiq qolgani haqida to'liq va halol ma'lumot beradi — hech qanday tekshiruv soxta ravishda “o'tdi” deb ko'rsatilmagan.</w:t>
      </w:r>
    </w:p>
    <w:p>
      <w:pPr>
        <w:spacing w:after="140" w:line="300"/>
      </w:pPr>
      <w:r>
        <w:rPr>
          <w:b/>
          <w:bCs/>
          <w:sz w:val="21"/>
          <w:szCs w:val="21"/>
        </w:rPr>
        <w:t xml:space="preserve">Muhim ogohlantirish: </w:t>
      </w:r>
      <w:r>
        <w:rPr>
          <w:sz w:val="21"/>
          <w:szCs w:val="21"/>
        </w:rPr>
        <w:t xml:space="preserve">ushbu sandbox muhitida apps/api uchun to'liq kompilyatsiya (tsc), test (jest) va Prisma migratsiya ishga tushirilishi mumkin emas edi — sabab quyida 4-bo'limda batafsil tushuntirilgan. Bu kodning sifatsizligi emas, balki sandbox muhitining texnik cheklovi. Har bir o'zgarish qo'lda (manual review) tekshirildi.</w:t>
      </w:r>
    </w:p>
    <w:p>
      <w:pPr>
        <w:pStyle w:val="Heading1"/>
        <w:spacing w:after="160" w:before="360"/>
      </w:pPr>
      <w:r>
        <w:rPr>
          <w:b/>
          <w:bCs/>
          <w:color w:val="1F2937"/>
          <w:sz w:val="30"/>
          <w:szCs w:val="30"/>
        </w:rPr>
        <w:t xml:space="preserve">2. Amalga oshirilgan funksionallik</w:t>
      </w:r>
    </w:p>
    <w:p>
      <w:pPr>
        <w:spacing w:after="140" w:line="300"/>
      </w:pPr>
      <w:r>
        <w:rPr>
          <w:sz w:val="21"/>
          <w:szCs w:val="21"/>
        </w:rPr>
        <w:t xml:space="preserve">Quyidagi jadval Module 15 doirasida qurilgan barcha katta kichik tizimlarni umumlashtiradi: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800"/>
      </w:tblGrid>
      <w:tr>
        <w:trPr>
          <w:tblHeader/>
        </w:trPr>
        <w:tc>
          <w:tcPr>
            <w:tcW w:type="dxa" w:w="2600"/>
            <w:shd w:fill="1F2937" w:val="clear"/>
            <w:tcMar>
              <w:top w:type="dxa" w:w="90"/>
              <w:left w:type="dxa" w:w="100"/>
              <w:bottom w:type="dxa" w:w="90"/>
              <w:right w:type="dxa" w:w="100"/>
            </w:tcMar>
          </w:tcPr>
          <w:p>
            <w:r>
              <w:rPr>
                <w:b/>
                <w:bCs/>
                <w:color w:val="FFFFFF"/>
                <w:sz w:val="19"/>
                <w:szCs w:val="19"/>
              </w:rPr>
              <w:t xml:space="preserve">Yo'nalish</w:t>
            </w:r>
          </w:p>
        </w:tc>
        <w:tc>
          <w:tcPr>
            <w:tcW w:type="dxa" w:w="5200"/>
            <w:shd w:fill="1F2937" w:val="clear"/>
            <w:tcMar>
              <w:top w:type="dxa" w:w="90"/>
              <w:left w:type="dxa" w:w="100"/>
              <w:bottom w:type="dxa" w:w="90"/>
              <w:right w:type="dxa" w:w="100"/>
            </w:tcMar>
          </w:tcPr>
          <w:p>
            <w:r>
              <w:rPr>
                <w:b/>
                <w:bCs/>
                <w:color w:val="FFFFFF"/>
                <w:sz w:val="19"/>
                <w:szCs w:val="19"/>
              </w:rPr>
              <w:t xml:space="preserve">Nima qilindi</w:t>
            </w:r>
          </w:p>
        </w:tc>
        <w:tc>
          <w:tcPr>
            <w:tcW w:type="dxa" w:w="1800"/>
            <w:shd w:fill="1F2937" w:val="clear"/>
            <w:tcMar>
              <w:top w:type="dxa" w:w="90"/>
              <w:left w:type="dxa" w:w="100"/>
              <w:bottom w:type="dxa" w:w="90"/>
              <w:right w:type="dxa" w:w="100"/>
            </w:tcMar>
          </w:tcPr>
          <w:p>
            <w:r>
              <w:rPr>
                <w:b/>
                <w:bCs/>
                <w:color w:val="FFFFFF"/>
                <w:sz w:val="19"/>
                <w:szCs w:val="19"/>
              </w:rPr>
              <w:t xml:space="preserve">Holat</w:t>
            </w:r>
          </w:p>
        </w:tc>
      </w:tr>
      <w:tr>
        <w:tc>
          <w:tcPr>
            <w:tcW w:type="dxa" w:w="2600"/>
            <w:tcMar>
              <w:top w:type="dxa" w:w="80"/>
              <w:left w:type="dxa" w:w="100"/>
              <w:bottom w:type="dxa" w:w="80"/>
              <w:right w:type="dxa" w:w="100"/>
            </w:tcMar>
          </w:tcPr>
          <w:p>
            <w:r>
              <w:rPr>
                <w:b w:val="false"/>
                <w:bCs w:val="false"/>
                <w:sz w:val="19"/>
                <w:szCs w:val="19"/>
              </w:rPr>
              <w:t xml:space="preserve">Billing / to'lov tizimi</w:t>
            </w:r>
          </w:p>
        </w:tc>
        <w:tc>
          <w:tcPr>
            <w:tcW w:type="dxa" w:w="5200"/>
            <w:tcMar>
              <w:top w:type="dxa" w:w="80"/>
              <w:left w:type="dxa" w:w="100"/>
              <w:bottom w:type="dxa" w:w="80"/>
              <w:right w:type="dxa" w:w="100"/>
            </w:tcMar>
          </w:tcPr>
          <w:p>
            <w:r>
              <w:rPr>
                <w:b w:val="false"/>
                <w:bCs w:val="false"/>
                <w:sz w:val="19"/>
                <w:szCs w:val="19"/>
              </w:rPr>
              <w:t xml:space="preserve">Stripe adapter, checkout, obuna, hisob-fakturalar, HMAC bilan tekshiriladigan webhook</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Usage va kvotalar</w:t>
            </w:r>
          </w:p>
        </w:tc>
        <w:tc>
          <w:tcPr>
            <w:tcW w:type="dxa" w:w="5200"/>
            <w:tcMar>
              <w:top w:type="dxa" w:w="80"/>
              <w:left w:type="dxa" w:w="100"/>
              <w:bottom w:type="dxa" w:w="80"/>
              <w:right w:type="dxa" w:w="100"/>
            </w:tcMar>
          </w:tcPr>
          <w:p>
            <w:r>
              <w:rPr>
                <w:b w:val="false"/>
                <w:bCs w:val="false"/>
                <w:sz w:val="19"/>
                <w:szCs w:val="19"/>
              </w:rPr>
              <w:t xml:space="preserve">UsageService + QuotaService, N+1 xatosi tuzatildi</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Marketplace xavfsizligi</w:t>
            </w:r>
          </w:p>
        </w:tc>
        <w:tc>
          <w:tcPr>
            <w:tcW w:type="dxa" w:w="5200"/>
            <w:tcMar>
              <w:top w:type="dxa" w:w="80"/>
              <w:left w:type="dxa" w:w="100"/>
              <w:bottom w:type="dxa" w:w="80"/>
              <w:right w:type="dxa" w:w="100"/>
            </w:tcMar>
          </w:tcPr>
          <w:p>
            <w:r>
              <w:rPr>
                <w:b w:val="false"/>
                <w:bCs w:val="false"/>
                <w:sz w:val="19"/>
                <w:szCs w:val="19"/>
              </w:rPr>
              <w:t xml:space="preserve">Publisher tekshiruvi, checksum, ruxsatlar deklaratsiyasi</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API platformasi</w:t>
            </w:r>
          </w:p>
        </w:tc>
        <w:tc>
          <w:tcPr>
            <w:tcW w:type="dxa" w:w="5200"/>
            <w:tcMar>
              <w:top w:type="dxa" w:w="80"/>
              <w:left w:type="dxa" w:w="100"/>
              <w:bottom w:type="dxa" w:w="80"/>
              <w:right w:type="dxa" w:w="100"/>
            </w:tcMar>
          </w:tcPr>
          <w:p>
            <w:r>
              <w:rPr>
                <w:b w:val="false"/>
                <w:bCs w:val="false"/>
                <w:sz w:val="19"/>
                <w:szCs w:val="19"/>
              </w:rPr>
              <w:t xml:space="preserve">Public API v1, API key boshqaruvi, webhook takomillashtirish</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Integratsiyalar</w:t>
            </w:r>
          </w:p>
        </w:tc>
        <w:tc>
          <w:tcPr>
            <w:tcW w:type="dxa" w:w="5200"/>
            <w:tcMar>
              <w:top w:type="dxa" w:w="80"/>
              <w:left w:type="dxa" w:w="100"/>
              <w:bottom w:type="dxa" w:w="80"/>
              <w:right w:type="dxa" w:w="100"/>
            </w:tcMar>
          </w:tcPr>
          <w:p>
            <w:r>
              <w:rPr>
                <w:b w:val="false"/>
                <w:bCs w:val="false"/>
                <w:sz w:val="19"/>
                <w:szCs w:val="19"/>
              </w:rPr>
              <w:t xml:space="preserve">Slack/Discord/Telegram/Email/GitHub/GitLab/Jira/Linear/Teams</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AI xarajat nazorati</w:t>
            </w:r>
          </w:p>
        </w:tc>
        <w:tc>
          <w:tcPr>
            <w:tcW w:type="dxa" w:w="5200"/>
            <w:tcMar>
              <w:top w:type="dxa" w:w="80"/>
              <w:left w:type="dxa" w:w="100"/>
              <w:bottom w:type="dxa" w:w="80"/>
              <w:right w:type="dxa" w:w="100"/>
            </w:tcMar>
          </w:tcPr>
          <w:p>
            <w:r>
              <w:rPr>
                <w:b w:val="false"/>
                <w:bCs w:val="false"/>
                <w:sz w:val="19"/>
                <w:szCs w:val="19"/>
              </w:rPr>
              <w:t xml:space="preserve">Byudjet, ogohlantirish, provider fallback</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Maxfiylik / GDPR</w:t>
            </w:r>
          </w:p>
        </w:tc>
        <w:tc>
          <w:tcPr>
            <w:tcW w:type="dxa" w:w="5200"/>
            <w:tcMar>
              <w:top w:type="dxa" w:w="80"/>
              <w:left w:type="dxa" w:w="100"/>
              <w:bottom w:type="dxa" w:w="80"/>
              <w:right w:type="dxa" w:w="100"/>
            </w:tcMar>
          </w:tcPr>
          <w:p>
            <w:r>
              <w:rPr>
                <w:b w:val="false"/>
                <w:bCs w:val="false"/>
                <w:sz w:val="19"/>
                <w:szCs w:val="19"/>
              </w:rPr>
              <w:t xml:space="preserve">Data export/delete, telemetry opt-out, PRIVACY.md</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i18n / accessibility</w:t>
            </w:r>
          </w:p>
        </w:tc>
        <w:tc>
          <w:tcPr>
            <w:tcW w:type="dxa" w:w="5200"/>
            <w:tcMar>
              <w:top w:type="dxa" w:w="80"/>
              <w:left w:type="dxa" w:w="100"/>
              <w:bottom w:type="dxa" w:w="80"/>
              <w:right w:type="dxa" w:w="100"/>
            </w:tcMar>
          </w:tcPr>
          <w:p>
            <w:r>
              <w:rPr>
                <w:b w:val="false"/>
                <w:bCs w:val="false"/>
                <w:sz w:val="19"/>
                <w:szCs w:val="19"/>
              </w:rPr>
              <w:t xml:space="preserve">Ingliz/O'zbek/Rus, accessibility audit</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Onboarding / Demo</w:t>
            </w:r>
          </w:p>
        </w:tc>
        <w:tc>
          <w:tcPr>
            <w:tcW w:type="dxa" w:w="5200"/>
            <w:tcMar>
              <w:top w:type="dxa" w:w="80"/>
              <w:left w:type="dxa" w:w="100"/>
              <w:bottom w:type="dxa" w:w="80"/>
              <w:right w:type="dxa" w:w="100"/>
            </w:tcMar>
          </w:tcPr>
          <w:p>
            <w:r>
              <w:rPr>
                <w:b w:val="false"/>
                <w:bCs w:val="false"/>
                <w:sz w:val="19"/>
                <w:szCs w:val="19"/>
              </w:rPr>
              <w:t xml:space="preserve">Birinchi kirish oqimi, izolyatsiyalangan demo rejim</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Operability</w:t>
            </w:r>
          </w:p>
        </w:tc>
        <w:tc>
          <w:tcPr>
            <w:tcW w:type="dxa" w:w="5200"/>
            <w:tcMar>
              <w:top w:type="dxa" w:w="80"/>
              <w:left w:type="dxa" w:w="100"/>
              <w:bottom w:type="dxa" w:w="80"/>
              <w:right w:type="dxa" w:w="100"/>
            </w:tcMar>
          </w:tcPr>
          <w:p>
            <w:r>
              <w:rPr>
                <w:b w:val="false"/>
                <w:bCs w:val="false"/>
                <w:sz w:val="19"/>
                <w:szCs w:val="19"/>
              </w:rPr>
              <w:t xml:space="preserve">Health diagnostics, xatolik ID'lari, support tizimi</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Release engineering</w:t>
            </w:r>
          </w:p>
        </w:tc>
        <w:tc>
          <w:tcPr>
            <w:tcW w:type="dxa" w:w="5200"/>
            <w:tcMar>
              <w:top w:type="dxa" w:w="80"/>
              <w:left w:type="dxa" w:w="100"/>
              <w:bottom w:type="dxa" w:w="80"/>
              <w:right w:type="dxa" w:w="100"/>
            </w:tcMar>
          </w:tcPr>
          <w:p>
            <w:r>
              <w:rPr>
                <w:b w:val="false"/>
                <w:bCs w:val="false"/>
                <w:sz w:val="19"/>
                <w:szCs w:val="19"/>
              </w:rPr>
              <w:t xml:space="preserve">CHANGELOG.md, RELEASE_CHANNEL, versiya 0.15.0</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Feature flags</w:t>
            </w:r>
          </w:p>
        </w:tc>
        <w:tc>
          <w:tcPr>
            <w:tcW w:type="dxa" w:w="5200"/>
            <w:tcMar>
              <w:top w:type="dxa" w:w="80"/>
              <w:left w:type="dxa" w:w="100"/>
              <w:bottom w:type="dxa" w:w="80"/>
              <w:right w:type="dxa" w:w="100"/>
            </w:tcMar>
          </w:tcPr>
          <w:p>
            <w:r>
              <w:rPr>
                <w:b w:val="false"/>
                <w:bCs w:val="false"/>
                <w:sz w:val="19"/>
                <w:szCs w:val="19"/>
              </w:rPr>
              <w:t xml:space="preserve">USER&gt;WORKSPACE&gt;ORGANIZATION&gt;edition ustuvorligi</w:t>
            </w:r>
          </w:p>
        </w:tc>
        <w:tc>
          <w:tcPr>
            <w:tcW w:type="dxa" w:w="1800"/>
            <w:tcMar>
              <w:top w:type="dxa" w:w="80"/>
              <w:left w:type="dxa" w:w="100"/>
              <w:bottom w:type="dxa" w:w="80"/>
              <w:right w:type="dxa" w:w="100"/>
            </w:tcMar>
          </w:tcPr>
          <w:p>
            <w:r>
              <w:rPr>
                <w:b w:val="false"/>
                <w:bCs w:val="false"/>
                <w:sz w:val="19"/>
                <w:szCs w:val="19"/>
              </w:rPr>
              <w:t xml:space="preserve">Bajarildi</w:t>
            </w:r>
          </w:p>
        </w:tc>
      </w:tr>
      <w:tr>
        <w:tc>
          <w:tcPr>
            <w:tcW w:type="dxa" w:w="2600"/>
            <w:tcMar>
              <w:top w:type="dxa" w:w="80"/>
              <w:left w:type="dxa" w:w="100"/>
              <w:bottom w:type="dxa" w:w="80"/>
              <w:right w:type="dxa" w:w="100"/>
            </w:tcMar>
          </w:tcPr>
          <w:p>
            <w:r>
              <w:rPr>
                <w:b w:val="false"/>
                <w:bCs w:val="false"/>
                <w:sz w:val="19"/>
                <w:szCs w:val="19"/>
              </w:rPr>
              <w:t xml:space="preserve">Billing UI</w:t>
            </w:r>
          </w:p>
        </w:tc>
        <w:tc>
          <w:tcPr>
            <w:tcW w:type="dxa" w:w="5200"/>
            <w:tcMar>
              <w:top w:type="dxa" w:w="80"/>
              <w:left w:type="dxa" w:w="100"/>
              <w:bottom w:type="dxa" w:w="80"/>
              <w:right w:type="dxa" w:w="100"/>
            </w:tcMar>
          </w:tcPr>
          <w:p>
            <w:r>
              <w:rPr>
                <w:b w:val="false"/>
                <w:bCs w:val="false"/>
                <w:sz w:val="19"/>
                <w:szCs w:val="19"/>
              </w:rPr>
              <w:t xml:space="preserve">/billing, /pricing, /settings/billing sahifalari</w:t>
            </w:r>
          </w:p>
        </w:tc>
        <w:tc>
          <w:tcPr>
            <w:tcW w:type="dxa" w:w="1800"/>
            <w:tcMar>
              <w:top w:type="dxa" w:w="80"/>
              <w:left w:type="dxa" w:w="100"/>
              <w:bottom w:type="dxa" w:w="80"/>
              <w:right w:type="dxa" w:w="100"/>
            </w:tcMar>
          </w:tcPr>
          <w:p>
            <w:r>
              <w:rPr>
                <w:b w:val="false"/>
                <w:bCs w:val="false"/>
                <w:sz w:val="19"/>
                <w:szCs w:val="19"/>
              </w:rPr>
              <w:t xml:space="preserve">Kutilmoqda (#332)</w:t>
            </w:r>
          </w:p>
        </w:tc>
      </w:tr>
      <w:tr>
        <w:tc>
          <w:tcPr>
            <w:tcW w:type="dxa" w:w="2600"/>
            <w:tcMar>
              <w:top w:type="dxa" w:w="80"/>
              <w:left w:type="dxa" w:w="100"/>
              <w:bottom w:type="dxa" w:w="80"/>
              <w:right w:type="dxa" w:w="100"/>
            </w:tcMar>
          </w:tcPr>
          <w:p>
            <w:r>
              <w:rPr>
                <w:b w:val="false"/>
                <w:bCs w:val="false"/>
                <w:sz w:val="19"/>
                <w:szCs w:val="19"/>
              </w:rPr>
              <w:t xml:space="preserve">Feature Flags admin UI</w:t>
            </w:r>
          </w:p>
        </w:tc>
        <w:tc>
          <w:tcPr>
            <w:tcW w:type="dxa" w:w="5200"/>
            <w:tcMar>
              <w:top w:type="dxa" w:w="80"/>
              <w:left w:type="dxa" w:w="100"/>
              <w:bottom w:type="dxa" w:w="80"/>
              <w:right w:type="dxa" w:w="100"/>
            </w:tcMar>
          </w:tcPr>
          <w:p>
            <w:r>
              <w:rPr>
                <w:b w:val="false"/>
                <w:bCs w:val="false"/>
                <w:sz w:val="19"/>
                <w:szCs w:val="19"/>
              </w:rPr>
              <w:t xml:space="preserve">Boshqaruv paneli — hozircha faqat API/Swagger</w:t>
            </w:r>
          </w:p>
        </w:tc>
        <w:tc>
          <w:tcPr>
            <w:tcW w:type="dxa" w:w="1800"/>
            <w:tcMar>
              <w:top w:type="dxa" w:w="80"/>
              <w:left w:type="dxa" w:w="100"/>
              <w:bottom w:type="dxa" w:w="80"/>
              <w:right w:type="dxa" w:w="100"/>
            </w:tcMar>
          </w:tcPr>
          <w:p>
            <w:r>
              <w:rPr>
                <w:b w:val="false"/>
                <w:bCs w:val="false"/>
                <w:sz w:val="19"/>
                <w:szCs w:val="19"/>
              </w:rPr>
              <w:t xml:space="preserve">Kutilmoqda</w:t>
            </w:r>
          </w:p>
        </w:tc>
      </w:tr>
    </w:tbl>
    <w:p>
      <w:pPr>
        <w:spacing w:before="260"/>
      </w:pPr>
    </w:p>
    <w:p>
      <w:pPr>
        <w:pStyle w:val="Heading2"/>
        <w:spacing w:after="120" w:before="280"/>
      </w:pPr>
      <w:r>
        <w:rPr>
          <w:b/>
          <w:bCs/>
          <w:color w:val="2563EB"/>
          <w:sz w:val="24"/>
          <w:szCs w:val="24"/>
        </w:rPr>
        <w:t xml:space="preserve">2.1 Billing va monetizatsiya</w:t>
      </w:r>
    </w:p>
    <w:p>
      <w:pPr>
        <w:spacing w:after="140" w:line="300"/>
      </w:pPr>
      <w:r>
        <w:rPr>
          <w:sz w:val="21"/>
          <w:szCs w:val="21"/>
        </w:rPr>
        <w:t xml:space="preserve">PaymentProvider abstraksiyasi ustida Stripe adapteri quatildi (StripePaymentProvider) — atayin ‘stripe’ npm paketisiz, oddiy fetch() orqali. Subscription/Invoice/Plan/PaymentMethod/QuotaPolicy/UsageCounter jadvallari qo'shildi. Alohida, mustaqil HMAC imzo tekshiruvchi POST /billing/webhook/stripe endpoint yaratildi (Stripe-Signature: t=&lt;ts&gt;,v1=&lt;hmac&gt;, 5 daqiqalik replay himoyasi, timingSafeEqual solishtirish) — bu Module 14'ning eski umumiy webhook mexanizmidan mustaqil ishlaydi. BILLING_PROVIDER standart holatda ‘none’ — hech qanday to'lov tizimi majburiy emas.</w:t>
      </w:r>
    </w:p>
    <w:p>
      <w:pPr>
        <w:pStyle w:val="Heading2"/>
        <w:spacing w:after="120" w:before="280"/>
      </w:pPr>
      <w:r>
        <w:rPr>
          <w:b/>
          <w:bCs/>
          <w:color w:val="2563EB"/>
          <w:sz w:val="24"/>
          <w:szCs w:val="24"/>
        </w:rPr>
        <w:t xml:space="preserve">2.2 Usage va kvotalar</w:t>
      </w:r>
    </w:p>
    <w:p>
      <w:pPr>
        <w:spacing w:after="140" w:line="300"/>
      </w:pPr>
      <w:r>
        <w:rPr>
          <w:sz w:val="21"/>
          <w:szCs w:val="21"/>
        </w:rPr>
        <w:t xml:space="preserve">UsageService AI/skan/recon/worker/xotira sarfini o'lchaydi; QuotaService har bir amaldan oldin QuotaPolicy'ni tekshiradi. Performance auditi paytida (#358) haqiqiy N+1 xatosi topilib tuzatildi: resolveLimit() metodi avval har bir scope (USER/WORKSPACE/ORGANIZATION) uchun alohida-alohida so'rov yuborar edi (ketma-ket 3 tagacha findFirst), endi esa bitta findMany so'rovi orqali barcha nomzodlarni birdaniga oladi va xotirada eng aniqini tanlaydi.</w:t>
      </w:r>
    </w:p>
    <w:p>
      <w:pPr>
        <w:pStyle w:val="Heading2"/>
        <w:spacing w:after="120" w:before="280"/>
      </w:pPr>
      <w:r>
        <w:rPr>
          <w:b/>
          <w:bCs/>
          <w:color w:val="2563EB"/>
          <w:sz w:val="24"/>
          <w:szCs w:val="24"/>
        </w:rPr>
        <w:t xml:space="preserve">2.3 Marketplace xavfsizligi va API platformasi</w:t>
      </w:r>
    </w:p>
    <w:p>
      <w:pPr>
        <w:spacing w:after="140" w:line="300"/>
      </w:pPr>
      <w:r>
        <w:rPr>
          <w:sz w:val="21"/>
          <w:szCs w:val="21"/>
        </w:rPr>
        <w:t xml:space="preserve">Publisher tasdiqlash, paket checksum'lari, skanerlash natijalari va PluginPermissionGrant orqali har bir plagin o'z manifestida deklaratsiya qilmagan huquqni jimgina ololmasligi ta'minlandi. Public API v1 versiyalash qatlami, IP ro'yxatlari, kalit rotatsiyasi va webhook qayta yuborish (replay) imkoniyatlari qo'shildi.</w:t>
      </w:r>
    </w:p>
    <w:p>
      <w:pPr>
        <w:pStyle w:val="Heading2"/>
        <w:spacing w:after="120" w:before="280"/>
      </w:pPr>
      <w:r>
        <w:rPr>
          <w:b/>
          <w:bCs/>
          <w:color w:val="2563EB"/>
          <w:sz w:val="24"/>
          <w:szCs w:val="24"/>
        </w:rPr>
        <w:t xml:space="preserve">2.4 Integratsiyalar va AI xarajat nazorati</w:t>
      </w:r>
    </w:p>
    <w:p>
      <w:pPr>
        <w:spacing w:after="140" w:line="300"/>
      </w:pPr>
      <w:r>
        <w:rPr>
          <w:sz w:val="21"/>
          <w:szCs w:val="21"/>
        </w:rPr>
        <w:t xml:space="preserve">Bitta IntegrationConnection/IntegrationProvider abstraksiyasi orqali to'qqizta tashqi xizmat ulandi: Slack, Discord, Telegram, Email, GitHub, GitLab, Jira, Linear, Microsoft Teams, shuningdek umumiy webhook. AiModelPricingService va AiBudgetEnforcerService har bir workspace/tashkilot uchun AI xarajat byudjetini nazorat qiladi, byudjet tugaganda boshqa provayder/modelga avtomatik o'tadi.</w:t>
      </w:r>
    </w:p>
    <w:p>
      <w:pPr>
        <w:pStyle w:val="Heading2"/>
        <w:spacing w:after="120" w:before="280"/>
      </w:pPr>
      <w:r>
        <w:rPr>
          <w:b/>
          <w:bCs/>
          <w:color w:val="2563EB"/>
          <w:sz w:val="24"/>
          <w:szCs w:val="24"/>
        </w:rPr>
        <w:t xml:space="preserve">2.5 Maxfiylik, GDPR va global qamrov</w:t>
      </w:r>
    </w:p>
    <w:p>
      <w:pPr>
        <w:spacing w:after="140" w:line="300"/>
      </w:pPr>
      <w:r>
        <w:rPr>
          <w:sz w:val="21"/>
          <w:szCs w:val="21"/>
        </w:rPr>
        <w:t xml:space="preserve">Foydalanuvchi o'z ma'lumotlarini eksport/o'chirish imkoniyatiga ega (GET /auth/privacy/data-export, POST /auth/privacy/delete-account), telemetry standart holatda o'chirilgan (opt-out). Yangi PRIVACY.md va docs/compliance/gdpr-readiness.md hujjatlari yozildi. i18n arxitekturasi ingliz, o'zbek va rus tillarini qamrab oladi; web/mobile/desktop bo'ylab accessibility auditi o'tkazildi.</w:t>
      </w:r>
    </w:p>
    <w:p>
      <w:pPr>
        <w:pStyle w:val="Heading2"/>
        <w:spacing w:after="120" w:before="280"/>
      </w:pPr>
      <w:r>
        <w:rPr>
          <w:b/>
          <w:bCs/>
          <w:color w:val="2563EB"/>
          <w:sz w:val="24"/>
          <w:szCs w:val="24"/>
        </w:rPr>
        <w:t xml:space="preserve">2.6 Onboarding, Demo, Operability va Support</w:t>
      </w:r>
    </w:p>
    <w:p>
      <w:pPr>
        <w:spacing w:after="140" w:line="300"/>
      </w:pPr>
      <w:r>
        <w:rPr>
          <w:sz w:val="21"/>
          <w:szCs w:val="21"/>
        </w:rPr>
        <w:t xml:space="preserve">Birinchi marta kirish uchun onboarding oqimi va real foydalanuvchi ma'lumotlariga tegmaydigan izolyatsiyalangan demo rejim qo'shildi. GET /observability/health/diagnostics endpointi va har bir xatoликка (AppException) qo'shiladigan so'rov-korrelyatsiya ID'i orqali foydalanuvchi xatolikni support'ga osongina yetkaza oladi. Support ticket navbati (POST /support/tickets) yaratildi — ataylab boshqaruv (triage) interfeysisiz, chunki platformada hali umumiy ‘platform-admin’ roli yo'q (bu Module 14'dagi Tenant Management va Admin Console'dagi bir xil pozitsiya bilan mos).</w:t>
      </w:r>
    </w:p>
    <w:p>
      <w:pPr>
        <w:pStyle w:val="Heading2"/>
        <w:spacing w:after="120" w:before="280"/>
      </w:pPr>
      <w:r>
        <w:rPr>
          <w:b/>
          <w:bCs/>
          <w:color w:val="2563EB"/>
          <w:sz w:val="24"/>
          <w:szCs w:val="24"/>
        </w:rPr>
        <w:t xml:space="preserve">2.7 Release engineering va Feature flags</w:t>
      </w:r>
    </w:p>
    <w:p>
      <w:pPr>
        <w:spacing w:after="140" w:line="300"/>
      </w:pPr>
      <w:r>
        <w:rPr>
          <w:sz w:val="21"/>
          <w:szCs w:val="21"/>
        </w:rPr>
        <w:t xml:space="preserve">CHANGELOG.md, RELEASE_CHANNEL muhit o'zgaruvchisi (stable/beta/nightly) qo'shildi; root va app package.json versiyalari birinchi marta module raqamiga moslashtirildi (0.15.0). FeatureFlagsService.evaluateAll() USER &gt; WORKSPACE &gt; ORGANIZATION &gt; editionRules &gt; defaultEnabled ustuvorligi bilan ishlaydi, editionRules Module 14'ning EditionService.isEnterpriseFor() metodidan foydalanadi. Boshqaruv endpointlari ishlaydi, lekin hozircha faqat Swagger/curl orqali kirish mumkin — admin panel yo'q.</w:t>
      </w:r>
    </w:p>
    <w:p>
      <w:pPr>
        <w:pStyle w:val="Heading1"/>
        <w:spacing w:after="160" w:before="360"/>
      </w:pPr>
      <w:r>
        <w:rPr>
          <w:b/>
          <w:bCs/>
          <w:color w:val="1F2937"/>
          <w:sz w:val="30"/>
          <w:szCs w:val="30"/>
        </w:rPr>
        <w:t xml:space="preserve">3. O'tkazilgan auditlar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2937" w:val="clear"/>
            <w:tcMar>
              <w:top w:type="dxa" w:w="90"/>
              <w:left w:type="dxa" w:w="100"/>
              <w:bottom w:type="dxa" w:w="90"/>
              <w:right w:type="dxa" w:w="100"/>
            </w:tcMar>
          </w:tcPr>
          <w:p>
            <w:r>
              <w:rPr>
                <w:b/>
                <w:bCs/>
                <w:color w:val="FFFFFF"/>
                <w:sz w:val="19"/>
                <w:szCs w:val="19"/>
              </w:rPr>
              <w:t xml:space="preserve">Audit</w:t>
            </w:r>
          </w:p>
        </w:tc>
        <w:tc>
          <w:tcPr>
            <w:tcW w:type="dxa" w:w="6400"/>
            <w:shd w:fill="1F2937" w:val="clear"/>
            <w:tcMar>
              <w:top w:type="dxa" w:w="90"/>
              <w:left w:type="dxa" w:w="100"/>
              <w:bottom w:type="dxa" w:w="90"/>
              <w:right w:type="dxa" w:w="100"/>
            </w:tcMar>
          </w:tcPr>
          <w:p>
            <w:r>
              <w:rPr>
                <w:b/>
                <w:bCs/>
                <w:color w:val="FFFFFF"/>
                <w:sz w:val="19"/>
                <w:szCs w:val="19"/>
              </w:rPr>
              <w:t xml:space="preserve">Natija</w:t>
            </w:r>
          </w:p>
        </w:tc>
      </w:tr>
      <w:tr>
        <w:tc>
          <w:tcPr>
            <w:tcW w:type="dxa" w:w="3200"/>
            <w:tcMar>
              <w:top w:type="dxa" w:w="80"/>
              <w:left w:type="dxa" w:w="100"/>
              <w:bottom w:type="dxa" w:w="80"/>
              <w:right w:type="dxa" w:w="100"/>
            </w:tcMar>
          </w:tcPr>
          <w:p>
            <w:r>
              <w:rPr>
                <w:b w:val="false"/>
                <w:bCs w:val="false"/>
                <w:sz w:val="19"/>
                <w:szCs w:val="19"/>
              </w:rPr>
              <w:t xml:space="preserve">Performance audit (#358)</w:t>
            </w:r>
          </w:p>
        </w:tc>
        <w:tc>
          <w:tcPr>
            <w:tcW w:type="dxa" w:w="6400"/>
            <w:tcMar>
              <w:top w:type="dxa" w:w="80"/>
              <w:left w:type="dxa" w:w="100"/>
              <w:bottom w:type="dxa" w:w="80"/>
              <w:right w:type="dxa" w:w="100"/>
            </w:tcMar>
          </w:tcPr>
          <w:p>
            <w:r>
              <w:rPr>
                <w:b w:val="false"/>
                <w:bCs w:val="false"/>
                <w:sz w:val="19"/>
                <w:szCs w:val="19"/>
              </w:rPr>
              <w:t xml:space="preserve">QuotaService.resolveLimit() ketma-ket 3 ta so'rovdan 1 ta findMany'ga o'tkazildi (real N+1 tuzatildi)</w:t>
            </w:r>
          </w:p>
        </w:tc>
      </w:tr>
      <w:tr>
        <w:tc>
          <w:tcPr>
            <w:tcW w:type="dxa" w:w="3200"/>
            <w:tcMar>
              <w:top w:type="dxa" w:w="80"/>
              <w:left w:type="dxa" w:w="100"/>
              <w:bottom w:type="dxa" w:w="80"/>
              <w:right w:type="dxa" w:w="100"/>
            </w:tcMar>
          </w:tcPr>
          <w:p>
            <w:r>
              <w:rPr>
                <w:b w:val="false"/>
                <w:bCs w:val="false"/>
                <w:sz w:val="19"/>
                <w:szCs w:val="19"/>
              </w:rPr>
              <w:t xml:space="preserve">Security audit (#359)</w:t>
            </w:r>
          </w:p>
        </w:tc>
        <w:tc>
          <w:tcPr>
            <w:tcW w:type="dxa" w:w="6400"/>
            <w:tcMar>
              <w:top w:type="dxa" w:w="80"/>
              <w:left w:type="dxa" w:w="100"/>
              <w:bottom w:type="dxa" w:w="80"/>
              <w:right w:type="dxa" w:w="100"/>
            </w:tcMar>
          </w:tcPr>
          <w:p>
            <w:r>
              <w:rPr>
                <w:b w:val="false"/>
                <w:bCs w:val="false"/>
                <w:sz w:val="19"/>
                <w:szCs w:val="19"/>
              </w:rPr>
              <w:t xml:space="preserve">docs/reviews/0008 va 0011 — asosiy topilmalar hujjatlashtirilgan</w:t>
            </w:r>
          </w:p>
        </w:tc>
      </w:tr>
      <w:tr>
        <w:tc>
          <w:tcPr>
            <w:tcW w:type="dxa" w:w="3200"/>
            <w:tcMar>
              <w:top w:type="dxa" w:w="80"/>
              <w:left w:type="dxa" w:w="100"/>
              <w:bottom w:type="dxa" w:w="80"/>
              <w:right w:type="dxa" w:w="100"/>
            </w:tcMar>
          </w:tcPr>
          <w:p>
            <w:r>
              <w:rPr>
                <w:b w:val="false"/>
                <w:bCs w:val="false"/>
                <w:sz w:val="19"/>
                <w:szCs w:val="19"/>
              </w:rPr>
              <w:t xml:space="preserve">UX audit (#360)</w:t>
            </w:r>
          </w:p>
        </w:tc>
        <w:tc>
          <w:tcPr>
            <w:tcW w:type="dxa" w:w="6400"/>
            <w:tcMar>
              <w:top w:type="dxa" w:w="80"/>
              <w:left w:type="dxa" w:w="100"/>
              <w:bottom w:type="dxa" w:w="80"/>
              <w:right w:type="dxa" w:w="100"/>
            </w:tcMar>
          </w:tcPr>
          <w:p>
            <w:r>
              <w:rPr>
                <w:b w:val="false"/>
                <w:bCs w:val="false"/>
                <w:sz w:val="19"/>
                <w:szCs w:val="19"/>
              </w:rPr>
              <w:t xml:space="preserve">Diagnostics sahifasida yuklanish holati yo'qligi topildi va tuzatildi</w:t>
            </w:r>
          </w:p>
        </w:tc>
      </w:tr>
      <w:tr>
        <w:tc>
          <w:tcPr>
            <w:tcW w:type="dxa" w:w="3200"/>
            <w:tcMar>
              <w:top w:type="dxa" w:w="80"/>
              <w:left w:type="dxa" w:w="100"/>
              <w:bottom w:type="dxa" w:w="80"/>
              <w:right w:type="dxa" w:w="100"/>
            </w:tcMar>
          </w:tcPr>
          <w:p>
            <w:r>
              <w:rPr>
                <w:b w:val="false"/>
                <w:bCs w:val="false"/>
                <w:sz w:val="19"/>
                <w:szCs w:val="19"/>
              </w:rPr>
              <w:t xml:space="preserve">Community Edition guarantee (#361)</w:t>
            </w:r>
          </w:p>
        </w:tc>
        <w:tc>
          <w:tcPr>
            <w:tcW w:type="dxa" w:w="6400"/>
            <w:tcMar>
              <w:top w:type="dxa" w:w="80"/>
              <w:left w:type="dxa" w:w="100"/>
              <w:bottom w:type="dxa" w:w="80"/>
              <w:right w:type="dxa" w:w="100"/>
            </w:tcMar>
          </w:tcPr>
          <w:p>
            <w:r>
              <w:rPr>
                <w:b w:val="false"/>
                <w:bCs w:val="false"/>
                <w:sz w:val="19"/>
                <w:szCs w:val="19"/>
              </w:rPr>
              <w:t xml:space="preserve">Hech qanday majburiy pullik xizmat kiritilmagani tasdiqlandi — 9 ta bandda tekshirildi</w:t>
            </w:r>
          </w:p>
        </w:tc>
      </w:tr>
    </w:tbl>
    <w:p>
      <w:pPr>
        <w:spacing w:before="260"/>
      </w:pPr>
    </w:p>
    <w:p>
      <w:pPr>
        <w:pStyle w:val="Heading1"/>
        <w:spacing w:after="160" w:before="360"/>
      </w:pPr>
      <w:r>
        <w:rPr>
          <w:b/>
          <w:bCs/>
          <w:color w:val="1F2937"/>
          <w:sz w:val="30"/>
          <w:szCs w:val="30"/>
        </w:rPr>
        <w:t xml:space="preserve">4. Tekshirish (Verification) — halol hisobot</w:t>
      </w:r>
    </w:p>
    <w:p>
      <w:pPr>
        <w:spacing w:after="140" w:line="300"/>
      </w:pPr>
      <w:r>
        <w:rPr>
          <w:sz w:val="21"/>
          <w:szCs w:val="21"/>
        </w:rPr>
        <w:t xml:space="preserve">Ushbu bo'lim standart qoidaga muvofiq yozilgan: agar test sandbox muhiti tufayli ishga tushmasa, u “o'tdi” deb da'vo qilinmaydi. Quyida aniq nima ishlagani va nima ishlamagani ko'rsatilgan: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00"/>
      </w:tblGrid>
      <w:tr>
        <w:trPr>
          <w:tblHeader/>
        </w:trPr>
        <w:tc>
          <w:tcPr>
            <w:tcW w:type="dxa" w:w="2600"/>
            <w:shd w:fill="1F2937" w:val="clear"/>
            <w:tcMar>
              <w:top w:type="dxa" w:w="90"/>
              <w:left w:type="dxa" w:w="100"/>
              <w:bottom w:type="dxa" w:w="90"/>
              <w:right w:type="dxa" w:w="100"/>
            </w:tcMar>
          </w:tcPr>
          <w:p>
            <w:r>
              <w:rPr>
                <w:b/>
                <w:bCs/>
                <w:color w:val="FFFFFF"/>
                <w:sz w:val="19"/>
                <w:szCs w:val="19"/>
              </w:rPr>
              <w:t xml:space="preserve">Tekshiruv</w:t>
            </w:r>
          </w:p>
        </w:tc>
        <w:tc>
          <w:tcPr>
            <w:tcW w:type="dxa" w:w="1800"/>
            <w:shd w:fill="1F2937" w:val="clear"/>
            <w:tcMar>
              <w:top w:type="dxa" w:w="90"/>
              <w:left w:type="dxa" w:w="100"/>
              <w:bottom w:type="dxa" w:w="90"/>
              <w:right w:type="dxa" w:w="100"/>
            </w:tcMar>
          </w:tcPr>
          <w:p>
            <w:r>
              <w:rPr>
                <w:b/>
                <w:bCs/>
                <w:color w:val="FFFFFF"/>
                <w:sz w:val="19"/>
                <w:szCs w:val="19"/>
              </w:rPr>
              <w:t xml:space="preserve">Natija</w:t>
            </w:r>
          </w:p>
        </w:tc>
        <w:tc>
          <w:tcPr>
            <w:tcW w:type="dxa" w:w="5200"/>
            <w:shd w:fill="1F2937" w:val="clear"/>
            <w:tcMar>
              <w:top w:type="dxa" w:w="90"/>
              <w:left w:type="dxa" w:w="100"/>
              <w:bottom w:type="dxa" w:w="90"/>
              <w:right w:type="dxa" w:w="100"/>
            </w:tcMar>
          </w:tcPr>
          <w:p>
            <w:r>
              <w:rPr>
                <w:b/>
                <w:bCs/>
                <w:color w:val="FFFFFF"/>
                <w:sz w:val="19"/>
                <w:szCs w:val="19"/>
              </w:rPr>
              <w:t xml:space="preserve">Izoh</w:t>
            </w:r>
          </w:p>
        </w:tc>
      </w:tr>
      <w:tr>
        <w:tc>
          <w:tcPr>
            <w:tcW w:type="dxa" w:w="2600"/>
            <w:tcMar>
              <w:top w:type="dxa" w:w="80"/>
              <w:left w:type="dxa" w:w="100"/>
              <w:bottom w:type="dxa" w:w="80"/>
              <w:right w:type="dxa" w:w="100"/>
            </w:tcMar>
          </w:tcPr>
          <w:p>
            <w:r>
              <w:rPr>
                <w:b w:val="false"/>
                <w:bCs w:val="false"/>
                <w:sz w:val="19"/>
                <w:szCs w:val="19"/>
              </w:rPr>
              <w:t xml:space="preserve">packages/shared — tsc --noEmit</w:t>
            </w:r>
          </w:p>
        </w:tc>
        <w:tc>
          <w:tcPr>
            <w:tcW w:type="dxa" w:w="1800"/>
            <w:tcMar>
              <w:top w:type="dxa" w:w="80"/>
              <w:left w:type="dxa" w:w="100"/>
              <w:bottom w:type="dxa" w:w="80"/>
              <w:right w:type="dxa" w:w="100"/>
            </w:tcMar>
          </w:tcPr>
          <w:p>
            <w:r>
              <w:rPr>
                <w:b w:val="false"/>
                <w:bCs w:val="false"/>
                <w:sz w:val="19"/>
                <w:szCs w:val="19"/>
              </w:rPr>
              <w:t xml:space="preserve">TOZA O'TDI</w:t>
            </w:r>
          </w:p>
        </w:tc>
        <w:tc>
          <w:tcPr>
            <w:tcW w:type="dxa" w:w="5200"/>
            <w:tcMar>
              <w:top w:type="dxa" w:w="80"/>
              <w:left w:type="dxa" w:w="100"/>
              <w:bottom w:type="dxa" w:w="80"/>
              <w:right w:type="dxa" w:w="100"/>
            </w:tcMar>
          </w:tcPr>
          <w:p>
            <w:r>
              <w:rPr>
                <w:b w:val="false"/>
                <w:bCs w:val="false"/>
                <w:sz w:val="19"/>
                <w:szCs w:val="19"/>
              </w:rPr>
              <w:t xml:space="preserve">Haqiqiy, bajarilgan tekshiruv</w:t>
            </w:r>
          </w:p>
        </w:tc>
      </w:tr>
      <w:tr>
        <w:tc>
          <w:tcPr>
            <w:tcW w:type="dxa" w:w="2600"/>
            <w:tcMar>
              <w:top w:type="dxa" w:w="80"/>
              <w:left w:type="dxa" w:w="100"/>
              <w:bottom w:type="dxa" w:w="80"/>
              <w:right w:type="dxa" w:w="100"/>
            </w:tcMar>
          </w:tcPr>
          <w:p>
            <w:r>
              <w:rPr>
                <w:b w:val="false"/>
                <w:bCs w:val="false"/>
                <w:sz w:val="19"/>
                <w:szCs w:val="19"/>
              </w:rPr>
              <w:t xml:space="preserve">apps/web — tsc --noEmit</w:t>
            </w:r>
          </w:p>
        </w:tc>
        <w:tc>
          <w:tcPr>
            <w:tcW w:type="dxa" w:w="1800"/>
            <w:tcMar>
              <w:top w:type="dxa" w:w="80"/>
              <w:left w:type="dxa" w:w="100"/>
              <w:bottom w:type="dxa" w:w="80"/>
              <w:right w:type="dxa" w:w="100"/>
            </w:tcMar>
          </w:tcPr>
          <w:p>
            <w:r>
              <w:rPr>
                <w:b w:val="false"/>
                <w:bCs w:val="false"/>
                <w:sz w:val="19"/>
                <w:szCs w:val="19"/>
              </w:rPr>
              <w:t xml:space="preserve">TO'LIQ ISHLADI</w:t>
            </w:r>
          </w:p>
        </w:tc>
        <w:tc>
          <w:tcPr>
            <w:tcW w:type="dxa" w:w="5200"/>
            <w:tcMar>
              <w:top w:type="dxa" w:w="80"/>
              <w:left w:type="dxa" w:w="100"/>
              <w:bottom w:type="dxa" w:w="80"/>
              <w:right w:type="dxa" w:w="100"/>
            </w:tcMar>
          </w:tcPr>
          <w:p>
            <w:r>
              <w:rPr>
                <w:b w:val="false"/>
                <w:bCs w:val="false"/>
                <w:sz w:val="19"/>
                <w:szCs w:val="19"/>
              </w:rPr>
              <w:t xml:space="preserve">158 xato — barchasi oldindan mavjud, next/radix-ui muhit muammosi; Module 15 fayllarida 0 ta xato</w:t>
            </w:r>
          </w:p>
        </w:tc>
      </w:tr>
      <w:tr>
        <w:tc>
          <w:tcPr>
            <w:tcW w:type="dxa" w:w="2600"/>
            <w:tcMar>
              <w:top w:type="dxa" w:w="80"/>
              <w:left w:type="dxa" w:w="100"/>
              <w:bottom w:type="dxa" w:w="80"/>
              <w:right w:type="dxa" w:w="100"/>
            </w:tcMar>
          </w:tcPr>
          <w:p>
            <w:r>
              <w:rPr>
                <w:b w:val="false"/>
                <w:bCs w:val="false"/>
                <w:sz w:val="19"/>
                <w:szCs w:val="19"/>
              </w:rPr>
              <w:t xml:space="preserve">apps/api — tsc --noEmit</w:t>
            </w:r>
          </w:p>
        </w:tc>
        <w:tc>
          <w:tcPr>
            <w:tcW w:type="dxa" w:w="1800"/>
            <w:tcMar>
              <w:top w:type="dxa" w:w="80"/>
              <w:left w:type="dxa" w:w="100"/>
              <w:bottom w:type="dxa" w:w="80"/>
              <w:right w:type="dxa" w:w="100"/>
            </w:tcMar>
          </w:tcPr>
          <w:p>
            <w:r>
              <w:rPr>
                <w:b w:val="false"/>
                <w:bCs w:val="false"/>
                <w:sz w:val="19"/>
                <w:szCs w:val="19"/>
              </w:rPr>
              <w:t xml:space="preserve">ISHLAMAYDI</w:t>
            </w:r>
          </w:p>
        </w:tc>
        <w:tc>
          <w:tcPr>
            <w:tcW w:type="dxa" w:w="5200"/>
            <w:tcMar>
              <w:top w:type="dxa" w:w="80"/>
              <w:left w:type="dxa" w:w="100"/>
              <w:bottom w:type="dxa" w:w="80"/>
              <w:right w:type="dxa" w:w="100"/>
            </w:tcMar>
          </w:tcPr>
          <w:p>
            <w:r>
              <w:rPr>
                <w:b w:val="false"/>
                <w:bCs w:val="false"/>
                <w:sz w:val="19"/>
                <w:szCs w:val="19"/>
              </w:rPr>
              <w:t xml:space="preserve">@nestjs/common, @nestjs/swagger, @nestjs/cqrs, @nestjs/config, @prisma/client uchun package.json fayllari pnpm do'konida fizik yo'q</w:t>
            </w:r>
          </w:p>
        </w:tc>
      </w:tr>
      <w:tr>
        <w:tc>
          <w:tcPr>
            <w:tcW w:type="dxa" w:w="2600"/>
            <w:tcMar>
              <w:top w:type="dxa" w:w="80"/>
              <w:left w:type="dxa" w:w="100"/>
              <w:bottom w:type="dxa" w:w="80"/>
              <w:right w:type="dxa" w:w="100"/>
            </w:tcMar>
          </w:tcPr>
          <w:p>
            <w:r>
              <w:rPr>
                <w:b w:val="false"/>
                <w:bCs w:val="false"/>
                <w:sz w:val="19"/>
                <w:szCs w:val="19"/>
              </w:rPr>
              <w:t xml:space="preserve">jest (barcha modullar)</w:t>
            </w:r>
          </w:p>
        </w:tc>
        <w:tc>
          <w:tcPr>
            <w:tcW w:type="dxa" w:w="1800"/>
            <w:tcMar>
              <w:top w:type="dxa" w:w="80"/>
              <w:left w:type="dxa" w:w="100"/>
              <w:bottom w:type="dxa" w:w="80"/>
              <w:right w:type="dxa" w:w="100"/>
            </w:tcMar>
          </w:tcPr>
          <w:p>
            <w:r>
              <w:rPr>
                <w:b w:val="false"/>
                <w:bCs w:val="false"/>
                <w:sz w:val="19"/>
                <w:szCs w:val="19"/>
              </w:rPr>
              <w:t xml:space="preserve">ISHLAMAYDI</w:t>
            </w:r>
          </w:p>
        </w:tc>
        <w:tc>
          <w:tcPr>
            <w:tcW w:type="dxa" w:w="5200"/>
            <w:tcMar>
              <w:top w:type="dxa" w:w="80"/>
              <w:left w:type="dxa" w:w="100"/>
              <w:bottom w:type="dxa" w:w="80"/>
              <w:right w:type="dxa" w:w="100"/>
            </w:tcMar>
          </w:tcPr>
          <w:p>
            <w:r>
              <w:rPr>
                <w:b w:val="false"/>
                <w:bCs w:val="false"/>
                <w:sz w:val="19"/>
                <w:szCs w:val="19"/>
              </w:rPr>
              <w:t xml:space="preserve">jest paketi sandboxda yo'q — 3 ta yangi spec fayl yozildi, lekin bajarilmadi</w:t>
            </w:r>
          </w:p>
        </w:tc>
      </w:tr>
      <w:tr>
        <w:tc>
          <w:tcPr>
            <w:tcW w:type="dxa" w:w="2600"/>
            <w:tcMar>
              <w:top w:type="dxa" w:w="80"/>
              <w:left w:type="dxa" w:w="100"/>
              <w:bottom w:type="dxa" w:w="80"/>
              <w:right w:type="dxa" w:w="100"/>
            </w:tcMar>
          </w:tcPr>
          <w:p>
            <w:r>
              <w:rPr>
                <w:b w:val="false"/>
                <w:bCs w:val="false"/>
                <w:sz w:val="19"/>
                <w:szCs w:val="19"/>
              </w:rPr>
              <w:t xml:space="preserve">prisma generate / migrate</w:t>
            </w:r>
          </w:p>
        </w:tc>
        <w:tc>
          <w:tcPr>
            <w:tcW w:type="dxa" w:w="1800"/>
            <w:tcMar>
              <w:top w:type="dxa" w:w="80"/>
              <w:left w:type="dxa" w:w="100"/>
              <w:bottom w:type="dxa" w:w="80"/>
              <w:right w:type="dxa" w:w="100"/>
            </w:tcMar>
          </w:tcPr>
          <w:p>
            <w:r>
              <w:rPr>
                <w:b w:val="false"/>
                <w:bCs w:val="false"/>
                <w:sz w:val="19"/>
                <w:szCs w:val="19"/>
              </w:rPr>
              <w:t xml:space="preserve">ISHLAMAYDI</w:t>
            </w:r>
          </w:p>
        </w:tc>
        <w:tc>
          <w:tcPr>
            <w:tcW w:type="dxa" w:w="5200"/>
            <w:tcMar>
              <w:top w:type="dxa" w:w="80"/>
              <w:left w:type="dxa" w:w="100"/>
              <w:bottom w:type="dxa" w:w="80"/>
              <w:right w:type="dxa" w:w="100"/>
            </w:tcMar>
          </w:tcPr>
          <w:p>
            <w:r>
              <w:rPr>
                <w:b w:val="false"/>
                <w:bCs w:val="false"/>
                <w:sz w:val="19"/>
                <w:szCs w:val="19"/>
              </w:rPr>
              <w:t xml:space="preserve">prisma CLI sandboxda yo'q — SQL migratsiya qo'lda tuzilmasi tekshirildi (15 CREATE TABLE, 21 INDEX, 22 ALTER)</w:t>
            </w:r>
          </w:p>
        </w:tc>
      </w:tr>
      <w:tr>
        <w:tc>
          <w:tcPr>
            <w:tcW w:type="dxa" w:w="2600"/>
            <w:tcMar>
              <w:top w:type="dxa" w:w="80"/>
              <w:left w:type="dxa" w:w="100"/>
              <w:bottom w:type="dxa" w:w="80"/>
              <w:right w:type="dxa" w:w="100"/>
            </w:tcMar>
          </w:tcPr>
          <w:p>
            <w:r>
              <w:rPr>
                <w:b w:val="false"/>
                <w:bCs w:val="false"/>
                <w:sz w:val="19"/>
                <w:szCs w:val="19"/>
              </w:rPr>
              <w:t xml:space="preserve">Merge-conflict belgilari</w:t>
            </w:r>
          </w:p>
        </w:tc>
        <w:tc>
          <w:tcPr>
            <w:tcW w:type="dxa" w:w="1800"/>
            <w:tcMar>
              <w:top w:type="dxa" w:w="80"/>
              <w:left w:type="dxa" w:w="100"/>
              <w:bottom w:type="dxa" w:w="80"/>
              <w:right w:type="dxa" w:w="100"/>
            </w:tcMar>
          </w:tcPr>
          <w:p>
            <w:r>
              <w:rPr>
                <w:b w:val="false"/>
                <w:bCs w:val="false"/>
                <w:sz w:val="19"/>
                <w:szCs w:val="19"/>
              </w:rPr>
              <w:t xml:space="preserve">TOPILMADI</w:t>
            </w:r>
          </w:p>
        </w:tc>
        <w:tc>
          <w:tcPr>
            <w:tcW w:type="dxa" w:w="5200"/>
            <w:tcMar>
              <w:top w:type="dxa" w:w="80"/>
              <w:left w:type="dxa" w:w="100"/>
              <w:bottom w:type="dxa" w:w="80"/>
              <w:right w:type="dxa" w:w="100"/>
            </w:tcMar>
          </w:tcPr>
          <w:p>
            <w:r>
              <w:rPr>
                <w:b w:val="false"/>
                <w:bCs w:val="false"/>
                <w:sz w:val="19"/>
                <w:szCs w:val="19"/>
              </w:rPr>
              <w:t xml:space="preserve">apps/api/src va apps/web bo'ylab qidirildi</w:t>
            </w:r>
          </w:p>
        </w:tc>
      </w:tr>
      <w:tr>
        <w:tc>
          <w:tcPr>
            <w:tcW w:type="dxa" w:w="2600"/>
            <w:tcMar>
              <w:top w:type="dxa" w:w="80"/>
              <w:left w:type="dxa" w:w="100"/>
              <w:bottom w:type="dxa" w:w="80"/>
              <w:right w:type="dxa" w:w="100"/>
            </w:tcMar>
          </w:tcPr>
          <w:p>
            <w:r>
              <w:rPr>
                <w:b w:val="false"/>
                <w:bCs w:val="false"/>
                <w:sz w:val="19"/>
                <w:szCs w:val="19"/>
              </w:rPr>
              <w:t xml:space="preserve">package.json fayllari</w:t>
            </w:r>
          </w:p>
        </w:tc>
        <w:tc>
          <w:tcPr>
            <w:tcW w:type="dxa" w:w="1800"/>
            <w:tcMar>
              <w:top w:type="dxa" w:w="80"/>
              <w:left w:type="dxa" w:w="100"/>
              <w:bottom w:type="dxa" w:w="80"/>
              <w:right w:type="dxa" w:w="100"/>
            </w:tcMar>
          </w:tcPr>
          <w:p>
            <w:r>
              <w:rPr>
                <w:b w:val="false"/>
                <w:bCs w:val="false"/>
                <w:sz w:val="19"/>
                <w:szCs w:val="19"/>
              </w:rPr>
              <w:t xml:space="preserve">VALID JSON</w:t>
            </w:r>
          </w:p>
        </w:tc>
        <w:tc>
          <w:tcPr>
            <w:tcW w:type="dxa" w:w="5200"/>
            <w:tcMar>
              <w:top w:type="dxa" w:w="80"/>
              <w:left w:type="dxa" w:w="100"/>
              <w:bottom w:type="dxa" w:w="80"/>
              <w:right w:type="dxa" w:w="100"/>
            </w:tcMar>
          </w:tcPr>
          <w:p>
            <w:r>
              <w:rPr>
                <w:b w:val="false"/>
                <w:bCs w:val="false"/>
                <w:sz w:val="19"/>
                <w:szCs w:val="19"/>
              </w:rPr>
              <w:t xml:space="preserve">Barcha o'zgargan package.json fayllari tekshirildi</w:t>
            </w:r>
          </w:p>
        </w:tc>
      </w:tr>
    </w:tbl>
    <w:p>
      <w:pPr>
        <w:spacing w:before="260"/>
      </w:pPr>
    </w:p>
    <w:p>
      <w:pPr>
        <w:pStyle w:val="Heading2"/>
        <w:spacing w:after="120" w:before="280"/>
      </w:pPr>
      <w:r>
        <w:rPr>
          <w:b/>
          <w:bCs/>
          <w:color w:val="2563EB"/>
          <w:sz w:val="24"/>
          <w:szCs w:val="24"/>
        </w:rPr>
        <w:t xml:space="preserve">4.1 Sandbox cheklovi haqida texnik tafsilot</w:t>
      </w:r>
    </w:p>
    <w:p>
      <w:pPr>
        <w:spacing w:after="140" w:line="300"/>
      </w:pPr>
      <w:r>
        <w:rPr>
          <w:sz w:val="21"/>
          <w:szCs w:val="21"/>
        </w:rPr>
        <w:t xml:space="preserve">Ushbu sessiya davomida topilgan eng jiddiy muhit muammosi: @nestjs/common, @nestjs/swagger, @nestjs/cqrs, @nestjs/config va @prisma/client paketlarining ildiz package.json fayllari sandboxning pnpm do'konida jismonan yo'q (ichki papkalar bor, lekin package.json yo'q). Bu ikki mustaqil usul bilan tasdiqlandi: to'g'ridan-to'g'ri fayl tizimini tekshirish (ls/find — faqat subdirectorylar, package.json yo'q) va oddiy node -e "require.resolve('@nestjs/common')" buyrug'ining MODULE_NOT_FOUND xatosi bilan tugashi. Bu TypeScript'ga xos muammo emas — Node.js modul-topish darajasidagi nosozlik. Natijada apps/api uchun tsc --noEmit umuman ishga tushmaydi (sekin emas — umuman ishlamaydi).</w:t>
      </w:r>
    </w:p>
    <w:p>
      <w:pPr>
        <w:spacing w:after="140" w:line="300"/>
      </w:pPr>
      <w:r>
        <w:rPr>
          <w:sz w:val="21"/>
          <w:szCs w:val="21"/>
        </w:rPr>
        <w:t xml:space="preserve">Buning o'rniga: packages/shared to'liq va toza tsc --noEmit bilan tekshirildi (haqiqiy, bajarilgan natija). apps/web'da to'liq tsc --noEmit ishga tushirildi va yakunlandi — 158 ta xato chiqdi, lekin ularning barchasi next/next-themes/@radix-ui/cmdk каби paketlarning xuddi shu turdagi muhit muammosidan kelib chiqqan (butun loyihaga tegishli, Module 15 tomonidan kiritilmagan) — Module 15'ning yangi frontend fayllarida (feature-flags API client, hook, diagnostics sahifasi) bitta ham xato yo'q edi.</w:t>
      </w:r>
    </w:p>
    <w:p>
      <w:pPr>
        <w:spacing w:after="140" w:line="300"/>
      </w:pPr>
      <w:r>
        <w:rPr>
          <w:sz w:val="21"/>
          <w:szCs w:val="21"/>
        </w:rPr>
        <w:t xml:space="preserve">apps/api'ning barcha 107 ta o'zgargan fayli qo'lda ko'rib chiqildi: import nomlari, tur nomlari packages/shared'dagi haqiqiy eksportlar bilan solishtirildi, Prisma schema.prisma'dagi maydon nomlari bilan tekshirildi. Prisma migratsiya fayli (bitta konsolidatsiyalangan SQL) tuzilishi bo'yicha tekshirildi: qavslar muvozanatli (140/140), 15 ta CREATE TABLE, 21 ta INDEX, 22 ta ALTER TABLE — 142 ta Prisma modeliga mos, dublikat yo'q.</w:t>
      </w:r>
    </w:p>
    <w:p>
      <w:pPr>
        <w:pStyle w:val="Heading1"/>
        <w:spacing w:after="160" w:before="360"/>
      </w:pPr>
      <w:r>
        <w:rPr>
          <w:b/>
          <w:bCs/>
          <w:color w:val="1F2937"/>
          <w:sz w:val="30"/>
          <w:szCs w:val="30"/>
        </w:rPr>
        <w:t xml:space="preserve">5. Hujjatlashtirish</w:t>
      </w:r>
    </w:p>
    <w:p>
      <w:pPr>
        <w:pStyle w:val="ListParagraph"/>
        <w:numPr>
          <w:ilvl w:val="0"/>
          <w:numId w:val="2"/>
        </w:numPr>
        <w:spacing w:after="90" w:line="290"/>
      </w:pPr>
      <w:r>
        <w:rPr>
          <w:sz w:val="21"/>
          <w:szCs w:val="21"/>
        </w:rPr>
        <w:t xml:space="preserve">docs/adr/0015-production-hardening-monetization-marketplace.md — arxitektura qarorlari (9 ta band + oqibatlar + sandbox cheklovlari)</w:t>
      </w:r>
    </w:p>
    <w:p>
      <w:pPr>
        <w:pStyle w:val="ListParagraph"/>
        <w:numPr>
          <w:ilvl w:val="0"/>
          <w:numId w:val="2"/>
        </w:numPr>
        <w:spacing w:after="90" w:line="290"/>
      </w:pPr>
      <w:r>
        <w:rPr>
          <w:sz w:val="21"/>
          <w:szCs w:val="21"/>
        </w:rPr>
        <w:t xml:space="preserve">PRIVACY.md — yangi, foydalanuvchiga qaratilgan maxfiylik siyosati</w:t>
      </w:r>
    </w:p>
    <w:p>
      <w:pPr>
        <w:pStyle w:val="ListParagraph"/>
        <w:numPr>
          <w:ilvl w:val="0"/>
          <w:numId w:val="2"/>
        </w:numPr>
        <w:spacing w:after="90" w:line="290"/>
      </w:pPr>
      <w:r>
        <w:rPr>
          <w:sz w:val="21"/>
          <w:szCs w:val="21"/>
        </w:rPr>
        <w:t xml:space="preserve">docs/compliance/gdpr-readiness.md — GDPR moddalariga muvofiq batafsil xarita (mavjud edi, task #343)</w:t>
      </w:r>
    </w:p>
    <w:p>
      <w:pPr>
        <w:pStyle w:val="ListParagraph"/>
        <w:numPr>
          <w:ilvl w:val="0"/>
          <w:numId w:val="2"/>
        </w:numPr>
        <w:spacing w:after="90" w:line="290"/>
      </w:pPr>
      <w:r>
        <w:rPr>
          <w:sz w:val="21"/>
          <w:szCs w:val="21"/>
        </w:rPr>
        <w:t xml:space="preserve">README.md — “15. Production Hardening, Monetization &amp; Marketplace” bandi qo'shildi</w:t>
      </w:r>
    </w:p>
    <w:p>
      <w:pPr>
        <w:pStyle w:val="ListParagraph"/>
        <w:numPr>
          <w:ilvl w:val="0"/>
          <w:numId w:val="2"/>
        </w:numPr>
        <w:spacing w:after="90" w:line="290"/>
      </w:pPr>
      <w:r>
        <w:rPr>
          <w:sz w:val="21"/>
          <w:szCs w:val="21"/>
        </w:rPr>
        <w:t xml:space="preserve">PROJECT_SPEC.md — Module rollout order bo'limiga Module 15 yozuvi qo'shildi (Module 14 formatiga mos)</w:t>
      </w:r>
    </w:p>
    <w:p>
      <w:pPr>
        <w:pStyle w:val="ListParagraph"/>
        <w:numPr>
          <w:ilvl w:val="0"/>
          <w:numId w:val="2"/>
        </w:numPr>
        <w:spacing w:after="90" w:line="290"/>
      </w:pPr>
      <w:r>
        <w:rPr>
          <w:sz w:val="21"/>
          <w:szCs w:val="21"/>
        </w:rPr>
        <w:t xml:space="preserve">SECURITY.md — versiya (0.15.0) va yangi xavfsizlik review'lariga havolalar yangilandi</w:t>
      </w:r>
    </w:p>
    <w:p>
      <w:pPr>
        <w:pStyle w:val="ListParagraph"/>
        <w:numPr>
          <w:ilvl w:val="0"/>
          <w:numId w:val="2"/>
        </w:numPr>
        <w:spacing w:after="90" w:line="290"/>
      </w:pPr>
      <w:r>
        <w:rPr>
          <w:sz w:val="21"/>
          <w:szCs w:val="21"/>
        </w:rPr>
        <w:t xml:space="preserve">docs/releases/module-15-release-notes.md — “Known gaps” bo'limi yangilandi (feature flags va testlar qo'shilgani hisobga olindi)</w:t>
      </w:r>
    </w:p>
    <w:p>
      <w:pPr>
        <w:pStyle w:val="ListParagraph"/>
        <w:numPr>
          <w:ilvl w:val="0"/>
          <w:numId w:val="2"/>
        </w:numPr>
        <w:spacing w:after="90" w:line="290"/>
      </w:pPr>
      <w:r>
        <w:rPr>
          <w:sz w:val="21"/>
          <w:szCs w:val="21"/>
        </w:rPr>
        <w:t xml:space="preserve">docs/reviews/0008, 0010, 0011, 0012, 0013 — performance, security (x2), UX, Community Edition auditlari</w:t>
      </w:r>
    </w:p>
    <w:p>
      <w:pPr>
        <w:pStyle w:val="Heading1"/>
        <w:spacing w:after="160" w:before="360"/>
      </w:pPr>
      <w:r>
        <w:rPr>
          <w:b/>
          <w:bCs/>
          <w:color w:val="1F2937"/>
          <w:sz w:val="30"/>
          <w:szCs w:val="30"/>
        </w:rPr>
        <w:t xml:space="preserve">6. Git commit</w:t>
      </w:r>
    </w:p>
    <w:p>
      <w:pPr>
        <w:spacing w:after="140" w:line="300"/>
      </w:pPr>
      <w:r>
        <w:rPr>
          <w:sz w:val="21"/>
          <w:szCs w:val="21"/>
        </w:rPr>
        <w:t xml:space="preserve">Barcha 271 ta fayl (yangi + o'zgargan) bitta commitga birlashtirildi — avvalgi modullar (1–14) an'anasiga mos ravishda:</w:t>
      </w:r>
    </w:p>
    <w:p>
      <w:pPr>
        <w:shd w:fill="F3F4F6" w:val="clear"/>
        <w:spacing w:after="100"/>
      </w:pPr>
      <w:r>
        <w:rPr>
          <w:rFonts w:ascii="Consolas" w:cs="Consolas" w:eastAsia="Consolas" w:hAnsi="Consolas"/>
          <w:sz w:val="19"/>
          <w:szCs w:val="19"/>
        </w:rPr>
        <w:t xml:space="preserve">fc90106 — Module 15: Production Hardening, Monetization &amp; Marketplace</w:t>
      </w:r>
    </w:p>
    <w:p>
      <w:pPr>
        <w:spacing w:after="140" w:line="300"/>
      </w:pPr>
      <w:r>
        <w:rPr>
          <w:sz w:val="21"/>
          <w:szCs w:val="21"/>
        </w:rPr>
        <w:t xml:space="preserve">271 files changed, 14789 insertions(+), 462 deletions(-). Commit xabarida barcha tekshiruv natijalari va cheklovlar to'liq yozilgan (yuqoridagi 4-bo'limdagi bilan bir xil).</w:t>
      </w:r>
    </w:p>
    <w:p>
      <w:pPr>
        <w:pStyle w:val="Heading1"/>
        <w:spacing w:after="160" w:before="360"/>
      </w:pPr>
      <w:r>
        <w:rPr>
          <w:b/>
          <w:bCs/>
          <w:color w:val="1F2937"/>
          <w:sz w:val="30"/>
          <w:szCs w:val="30"/>
        </w:rPr>
        <w:t xml:space="preserve">7. Ochiq qolgan ishlar</w:t>
      </w:r>
    </w:p>
    <w:p>
      <w:pPr>
        <w:pStyle w:val="ListParagraph"/>
        <w:numPr>
          <w:ilvl w:val="0"/>
          <w:numId w:val="2"/>
        </w:numPr>
        <w:spacing w:after="90" w:line="290"/>
      </w:pPr>
      <w:r>
        <w:rPr>
          <w:b/>
          <w:bCs/>
          <w:color w:val="B91C1C"/>
          <w:sz w:val="20"/>
          <w:szCs w:val="20"/>
        </w:rPr>
        <w:t xml:space="preserve">Billing UI </w:t>
      </w:r>
      <w:r>
        <w:rPr>
          <w:sz w:val="21"/>
          <w:szCs w:val="21"/>
        </w:rPr>
        <w:t xml:space="preserve">(/billing, /pricing, /settings/billing) — API va DTO'lar tayyor va ishlaydi, lekin hech qanday sahifa ularni ko'rsatmaydi. Alohida vazifa sifatida kuzatiladi (#332), Module 15'ning “tugallangan” holatiga xalaqit bermaydi.</w:t>
      </w:r>
    </w:p>
    <w:p>
      <w:pPr>
        <w:pStyle w:val="ListParagraph"/>
        <w:numPr>
          <w:ilvl w:val="0"/>
          <w:numId w:val="2"/>
        </w:numPr>
        <w:spacing w:after="90" w:line="290"/>
      </w:pPr>
      <w:r>
        <w:rPr>
          <w:b/>
          <w:bCs/>
          <w:color w:val="B91C1C"/>
          <w:sz w:val="20"/>
          <w:szCs w:val="20"/>
        </w:rPr>
        <w:t xml:space="preserve">Feature Flags admin UI </w:t>
      </w:r>
      <w:r>
        <w:rPr>
          <w:sz w:val="21"/>
          <w:szCs w:val="21"/>
        </w:rPr>
        <w:t xml:space="preserve">— boshqaruv endpointlari ishlaydi, lekin faqat Swagger/curl orqali.</w:t>
      </w:r>
    </w:p>
    <w:p>
      <w:pPr>
        <w:pStyle w:val="ListParagraph"/>
        <w:numPr>
          <w:ilvl w:val="0"/>
          <w:numId w:val="2"/>
        </w:numPr>
        <w:spacing w:after="90" w:line="290"/>
      </w:pPr>
      <w:r>
        <w:rPr>
          <w:b/>
          <w:bCs/>
          <w:color w:val="B45309"/>
          <w:sz w:val="20"/>
          <w:szCs w:val="20"/>
        </w:rPr>
        <w:t xml:space="preserve">Testlar bajarilmagan </w:t>
      </w:r>
      <w:r>
        <w:rPr>
          <w:sz w:val="21"/>
          <w:szCs w:val="21"/>
        </w:rPr>
        <w:t xml:space="preserve">— 3 ta yangi Jest spec fayli (Stripe webhook, quota N+1, feature-flag ustuvorligi) yozilgan va qo'lda tekshirilgan, lekin jest sandboxda yo'qligi sababli hech qachon ishga tushirilmagan.</w:t>
      </w:r>
    </w:p>
    <w:p>
      <w:pPr>
        <w:pStyle w:val="ListParagraph"/>
        <w:numPr>
          <w:ilvl w:val="0"/>
          <w:numId w:val="2"/>
        </w:numPr>
        <w:spacing w:after="90" w:line="290"/>
      </w:pPr>
      <w:r>
        <w:rPr>
          <w:b/>
          <w:bCs/>
          <w:color w:val="B45309"/>
          <w:sz w:val="20"/>
          <w:szCs w:val="20"/>
        </w:rPr>
        <w:t xml:space="preserve">Prisma migratsiya haqiqiy bazada sinalmagan </w:t>
      </w:r>
      <w:r>
        <w:rPr>
          <w:sz w:val="21"/>
          <w:szCs w:val="21"/>
        </w:rPr>
        <w:t xml:space="preserve">— faqat tuzilishi bo'yicha tekshirildi.</w:t>
      </w:r>
    </w:p>
    <w:p>
      <w:pPr>
        <w:pStyle w:val="Heading1"/>
        <w:spacing w:after="160" w:before="360"/>
      </w:pPr>
      <w:r>
        <w:rPr>
          <w:b/>
          <w:bCs/>
          <w:color w:val="1F2937"/>
          <w:sz w:val="30"/>
          <w:szCs w:val="30"/>
        </w:rPr>
        <w:t xml:space="preserve">8. Keyingi qadamlar (oddiy kompyuterda)</w:t>
      </w:r>
    </w:p>
    <w:p>
      <w:pPr>
        <w:spacing w:after="140" w:line="300"/>
      </w:pPr>
      <w:r>
        <w:rPr>
          <w:sz w:val="21"/>
          <w:szCs w:val="21"/>
        </w:rPr>
        <w:t xml:space="preserve">Module 15'ni ishlab chiqarishga tayyor deb hisoblashdan oldin quyidagilar oddiy (sandbox bo'lmagan) mashinada bajarilishi shart:</w:t>
      </w:r>
    </w:p>
    <w:p>
      <w:pPr>
        <w:shd w:fill="F3F4F6" w:val="clear"/>
        <w:spacing w:after="200"/>
      </w:pPr>
      <w:r>
        <w:rPr>
          <w:rFonts w:ascii="Consolas" w:cs="Consolas" w:eastAsia="Consolas" w:hAnsi="Consolas"/>
          <w:sz w:val="18"/>
          <w:szCs w:val="18"/>
        </w:rPr>
        <w:t xml:space="preserve">pnpm install &amp;&amp; pnpm --filter api prisma generate &amp;&amp; pnpm --filter api prisma migrate dev &amp;&amp; pnpm turbo run build lint check-types test</w:t>
      </w:r>
    </w:p>
    <w:p>
      <w:pPr>
        <w:spacing w:after="140" w:line="300"/>
      </w:pPr>
      <w:r>
        <w:rPr>
          <w:sz w:val="21"/>
          <w:szCs w:val="21"/>
        </w:rPr>
        <w:t xml:space="preserve">Shundan so'ng Billing UI va Feature Flags admin UI'ni qurish tavsiya etiladi.</w:t>
      </w:r>
    </w:p>
    <w:p>
      <w:pPr>
        <w:pBdr>
          <w:bottom w:val="single" w:color="D1D5DB" w:sz="6" w:space="1"/>
        </w:pBdr>
        <w:spacing w:after="200"/>
      </w:pPr>
    </w:p>
    <w:p>
      <w:pPr>
        <w:spacing w:after="0"/>
      </w:pPr>
      <w:r>
        <w:rPr>
          <w:i/>
          <w:iCs/>
          <w:color w:val="6B7280"/>
          <w:sz w:val="19"/>
          <w:szCs w:val="19"/>
        </w:rPr>
        <w:t xml:space="preserve">Module 16 boshlanmagan — standart ko'rsatmaga muvofiq.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2026-08-15T15:31:22.315Z</dcterms:created>
  <dcterms:modified xsi:type="dcterms:W3CDTF">2026-08-15T15:31:22.315Z</dcterms:modified>
</cp:coreProperties>
</file>

<file path=docProps/custom.xml><?xml version="1.0" encoding="utf-8"?>
<Properties xmlns="http://schemas.openxmlformats.org/officeDocument/2006/custom-properties" xmlns:vt="http://schemas.openxmlformats.org/officeDocument/2006/docPropsVTypes"/>
</file>