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hAnsi="Times New Roman" w:eastAsia="Times New Roman" w:cs="Times New Roman"/>
          <w:b/>
          <w:bCs/>
          <w:color w:val="000000"/>
          <w:sz w:val="24"/>
          <w:szCs w:val="24"/>
        </w:rPr>
        <w:t xml:space="preserve">AI4015 — Agentic Artificial Intelligence</w:t>
      </w:r>
    </w:p>
    <w:p>
      <w:pPr>
        <w:spacing w:after="300"/>
        <w:jc w:val="center"/>
      </w:pPr>
      <w:r>
        <w:rPr>
          <w:rFonts w:ascii="Times New Roman" w:hAnsi="Times New Roman" w:eastAsia="Times New Roman" w:cs="Times New Roman"/>
          <w:color w:val="000000"/>
          <w:sz w:val="22"/>
          <w:szCs w:val="22"/>
        </w:rPr>
        <w:t xml:space="preserve">Semester Project — Phase 1</w:t>
      </w:r>
    </w:p>
    <w:p>
      <w:pPr>
        <w:pStyle w:val="Heading1"/>
        <w:spacing w:after="100"/>
        <w:jc w:val="center"/>
      </w:pPr>
      <w:r>
        <w:rPr>
          <w:rFonts w:ascii="Times New Roman" w:hAnsi="Times New Roman" w:eastAsia="Times New Roman" w:cs="Times New Roman"/>
          <w:color w:val="000000"/>
        </w:rPr>
        <w:t xml:space="preserve">Deliverable A — Literature Review &amp; Research Gaps</w:t>
      </w:r>
    </w:p>
    <w:p>
      <w:pPr>
        <w:spacing w:after="500"/>
        <w:jc w:val="center"/>
      </w:pPr>
      <w:r>
        <w:rPr>
          <w:rFonts w:ascii="Times New Roman" w:hAnsi="Times New Roman" w:eastAsia="Times New Roman" w:cs="Times New Roman"/>
          <w:i/>
          <w:iCs/>
          <w:color w:val="000000"/>
        </w:rPr>
        <w:t xml:space="preserve">Project G3-07: Automating SME Healthcare Workflows through Generative and Agentic AI Systems</w:t>
      </w:r>
    </w:p>
    <w:p>
      <w:pPr>
        <w:spacing w:after="80"/>
      </w:pPr>
      <w:r>
        <w:rPr>
          <w:rFonts w:ascii="Times New Roman" w:hAnsi="Times New Roman" w:eastAsia="Times New Roman" w:cs="Times New Roman"/>
          <w:b/>
          <w:bCs/>
          <w:color w:val="000000"/>
        </w:rPr>
        <w:t xml:space="preserve">Project Code: </w:t>
      </w:r>
      <w:r>
        <w:rPr>
          <w:rFonts w:ascii="Times New Roman" w:hAnsi="Times New Roman" w:eastAsia="Times New Roman" w:cs="Times New Roman"/>
          <w:color w:val="000000"/>
        </w:rPr>
        <w:t xml:space="preserve">G3-07</w:t>
      </w:r>
    </w:p>
    <w:p>
      <w:pPr>
        <w:spacing w:after="80"/>
      </w:pPr>
      <w:r>
        <w:rPr>
          <w:rFonts w:ascii="Times New Roman" w:hAnsi="Times New Roman" w:eastAsia="Times New Roman" w:cs="Times New Roman"/>
          <w:b/>
          <w:bCs/>
          <w:color w:val="000000"/>
        </w:rPr>
        <w:t xml:space="preserve">Project Title: </w:t>
      </w:r>
      <w:r>
        <w:rPr>
          <w:rFonts w:ascii="Times New Roman" w:hAnsi="Times New Roman" w:eastAsia="Times New Roman" w:cs="Times New Roman"/>
          <w:color w:val="000000"/>
        </w:rPr>
        <w:t>MedGuardian: A Tool-Grounded Agentic Co-Pilot for Dosage Safety, Peri-Operative Process Auditing, and Voice-Driven Sonography Reporting</w:t>
      </w:r>
    </w:p>
    <w:p>
      <w:pPr>
        <w:spacing w:after="80"/>
      </w:pPr>
      <w:r>
        <w:rPr>
          <w:rFonts w:ascii="Times New Roman" w:hAnsi="Times New Roman" w:eastAsia="Times New Roman" w:cs="Times New Roman"/>
          <w:b/>
          <w:bCs/>
          <w:color w:val="000000"/>
        </w:rPr>
        <w:t xml:space="preserve">Group Head: </w:t>
      </w:r>
      <w:r>
        <w:rPr>
          <w:rFonts w:ascii="Times New Roman" w:hAnsi="Times New Roman" w:eastAsia="Times New Roman" w:cs="Times New Roman"/>
          <w:color w:val="000000"/>
        </w:rPr>
        <w:t>Syed Muhammad Mustafa — 23i-0661</w:t>
      </w:r>
    </w:p>
    <w:p>
      <w:pPr>
        <w:spacing w:after="80"/>
      </w:pPr>
      <w:r>
        <w:rPr>
          <w:rFonts w:ascii="Times New Roman" w:hAnsi="Times New Roman" w:eastAsia="Times New Roman" w:cs="Times New Roman"/>
          <w:b/>
          <w:bCs/>
          <w:color w:val="000000"/>
        </w:rPr>
        <w:t xml:space="preserve">Group Member: </w:t>
      </w:r>
      <w:r>
        <w:rPr>
          <w:rFonts w:ascii="Times New Roman" w:hAnsi="Times New Roman" w:eastAsia="Times New Roman" w:cs="Times New Roman"/>
          <w:color w:val="000000"/>
        </w:rPr>
        <w:t>Muhammad bin Taimur — 23i-0810</w:t>
      </w:r>
    </w:p>
    <w:p>
      <w:pPr>
        <w:spacing w:after="400"/>
      </w:pPr>
      <w:r>
        <w:rPr>
          <w:rFonts w:ascii="Times New Roman" w:hAnsi="Times New Roman" w:eastAsia="Times New Roman" w:cs="Times New Roman"/>
          <w:b/>
          <w:bCs/>
          <w:color w:val="000000"/>
        </w:rPr>
        <w:t xml:space="preserve">Supervisor: </w:t>
      </w:r>
      <w:r>
        <w:rPr>
          <w:rFonts w:ascii="Times New Roman" w:hAnsi="Times New Roman" w:eastAsia="Times New Roman" w:cs="Times New Roman"/>
          <w:color w:val="000000"/>
        </w:rPr>
        <w:t xml:space="preserve">Naeem Tareen (G3 projects)</w:t>
      </w:r>
    </w:p>
    <w:p>
      <w:pPr>
        <w:pStyle w:val="Heading2"/>
        <w:spacing w:after="160" w:before="200"/>
      </w:pPr>
      <w:r>
        <w:rPr>
          <w:rFonts w:ascii="Times New Roman" w:hAnsi="Times New Roman" w:eastAsia="Times New Roman" w:cs="Times New Roman"/>
          <w:color w:val="000000"/>
        </w:rPr>
        <w:t xml:space="preserve">4.1  Critical Summary of Each Paper</w:t>
      </w:r>
    </w:p>
    <w:p>
      <w:pPr>
        <w:spacing w:after="240"/>
      </w:pPr>
      <w:r>
        <w:rPr>
          <w:rFonts w:ascii="Times New Roman" w:hAnsi="Times New Roman" w:eastAsia="Times New Roman" w:cs="Times New Roman"/>
          <w:color w:val="000000"/>
        </w:rPr>
        <w:t xml:space="preserve">Ten papers published in 2025–2026, directly relevant to agentic and generative AI for SME healthcare workflow automation, are critically reviewed below. Each summary is written in our own words and covers the problem addressed, the method/agent architecture used, the dataset or environment, the key results and metrics, the limitations (author-stated and self-identified), and the paper's relevance to our project. Paper 1 (MedAgentBench) is selected as the base paper for this project.</w:t>
      </w:r>
    </w:p>
    <w:p>
      <w:pPr>
        <w:pStyle w:val="Heading3"/>
        <w:spacing w:after="60" w:before="280"/>
      </w:pPr>
      <w:r>
        <w:rPr>
          <w:rFonts w:ascii="Times New Roman" w:hAnsi="Times New Roman" w:eastAsia="Times New Roman" w:cs="Times New Roman"/>
          <w:b/>
          <w:bCs/>
          <w:color w:val="000000"/>
        </w:rPr>
        <w:t xml:space="preserve">Paper 1 — MedAgentBench: A Virtual EHR Environment to Benchmark Medical LLM Agents</w:t>
      </w:r>
      <w:r>
        <w:rPr>
          <w:rFonts w:ascii="Times New Roman" w:hAnsi="Times New Roman" w:eastAsia="Times New Roman" w:cs="Times New Roman"/>
          <w:b/>
          <w:bCs/>
          <w:color w:val="000000"/>
        </w:rPr>
        <w:t xml:space="preserve">  ★ BASE PAPER</w:t>
      </w:r>
    </w:p>
    <w:p>
      <w:pPr>
        <w:spacing w:after="160"/>
      </w:pPr>
      <w:r>
        <w:rPr>
          <w:rFonts w:ascii="Times New Roman" w:hAnsi="Times New Roman" w:eastAsia="Times New Roman" w:cs="Times New Roman"/>
          <w:i/>
          <w:iCs/>
          <w:sz w:val="24"/>
          <w:szCs w:val="24"/>
          <w:color w:val="000000"/>
        </w:rPr>
        <w:t xml:space="preserve">Jiang Y, Black KC, Geng G, Park D, Zou J, Ng AY, Chen JH. NEJM AI, 2(9): AIdbp2500144, 2025. DOI: 10.1056/AIdbp2500144.</w:t>
      </w:r>
    </w:p>
    <w:p>
      <w:pPr>
        <w:spacing w:after="120"/>
      </w:pPr>
      <w:r>
        <w:rPr>
          <w:rFonts w:ascii="Times New Roman" w:hAnsi="Times New Roman" w:eastAsia="Times New Roman" w:cs="Times New Roman"/>
          <w:b/>
          <w:color w:val="000000"/>
          <w:sz w:val="24"/>
        </w:rPr>
        <w:t xml:space="preserve">Ranking note: </w:t>
      </w:r>
      <w:r>
        <w:rPr>
          <w:rFonts w:ascii="Times New Roman" w:hAnsi="Times New Roman" w:eastAsia="Times New Roman" w:cs="Times New Roman"/>
          <w:b w:val="0"/>
          <w:color w:val="000000"/>
          <w:sz w:val="24"/>
        </w:rPr>
        <w:t>NEJM AI (Massachusetts Medical Society, launched 2024) is too new to appear in SCImago/Scopus or to have a JCR quartile yet. Eligibility of MedAgentBench as the base paper is being confirmed with our supervisor.</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Most medical LLM evaluations test static question answering, not whether a model can act safely inside a real electronic health record (EHR) system, which is the core requirement for an autonomous clinical agent.</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authors built an interactive, FHIR-compliant virtual EHR on an open-source HAPI FHIR server. Agents complete physician-authored tasks by issuing GET requests to retrieve data and POST requests to write orders, and are scored automatically on task success.</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300 tasks across ten categories were written by physicians and run over 100 realistic synthetic patient profiles containing more than 700,000 structured data elements; twelve LLMs, including GPT-4o, Claude 3.5 Sonnet, and DeepSeek-V3, were evaluated.</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Claude 3.5 Sonnet v2 performed best overall (69.67% success), but even this leading model split sharply between retrieval tasks (85.33%) and action tasks such as placing orders (54.00%), showing that writing safe actions is far harder than reading data.</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The authors state the environment has no access control, security layer, or audit logging and is explicitly not production-ready. We also note that scoring is binary task success with no severity weighting for harmful actions, that no tool-augmented or multi-agent baselines are tested, and that all patient data come from a single US academic hospital model.</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benchmark is almost a ready-made test bed for our agentic reasoning subproject, since its medication-ordering and lab-retrieval tasks mirror the dosage-checking and lab-value auditing the project requires, and its synthetic FHIR patients give us a safe, non-clinical fallback dataset.</w:t>
      </w:r>
    </w:p>
    <w:p>
      <w:pPr>
        <w:pStyle w:val="Heading3"/>
        <w:spacing w:after="60" w:before="280"/>
      </w:pPr>
      <w:r>
        <w:rPr>
          <w:rFonts w:ascii="Times New Roman" w:hAnsi="Times New Roman" w:eastAsia="Times New Roman" w:cs="Times New Roman"/>
          <w:b/>
          <w:bCs/>
          <w:color w:val="000000"/>
        </w:rPr>
        <w:t xml:space="preserve">Paper 2 — Development and validation of an autonomous AI agent for clinical decision-making in oncology</w:t>
      </w:r>
    </w:p>
    <w:p>
      <w:pPr>
        <w:spacing w:after="160"/>
      </w:pPr>
      <w:r>
        <w:rPr>
          <w:rFonts w:ascii="Times New Roman" w:hAnsi="Times New Roman" w:eastAsia="Times New Roman" w:cs="Times New Roman"/>
          <w:i/>
          <w:iCs/>
          <w:sz w:val="24"/>
          <w:szCs w:val="24"/>
          <w:color w:val="000000"/>
        </w:rPr>
        <w:t xml:space="preserve">Ferber D, El Nahhas OSM, Wölflein G, et al. Nature Cancer, 6: 1337–1349, 2025. DOI: 10.1038/s43018-025-00991-6.</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Oncology treatment decisions require synthesizing imaging, pathology, genomics, and guidelines simultaneously, a multi-source reasoning task that a single LLM prompt handles poorly.</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authors built a GPT-4 agent that autonomously selects and calls external tools, including vision models for histopathology mutation prediction, MedSAM for radiology segmentation, OncoKB, PubMed, web search, and a retrieval store of oncology guidelines, chaining tool outputs into a final recommendation.</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Twenty realistic, multimodal simulated patient cases combining imaging, pathology, and clinical history were used, with oncologists grading the agent's tool choices and final conclusions.</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The agent selected appropriate tools in 87.5% of cases, reached correct clinical conclusions in 91.0% of cases, and cited relevant guidelines over 75% of the time; decision accuracy rose from 30.3% for GPT-4 alone to 87.2% once tool use was added.</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The evaluation set is only 20 private, simulated cases with no prospective or real-patient validation, relies on a single proprietary backbone model with no open-weight comparison, and does not report consistency across repeated runs of the same case.</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is strong 2025 evidence that grounding an agent in deterministic tools, rather than enlarging the model, is what drives safety gains, directly supporting our plan to build the dosage-reasoning agent around verified calculators and database lookups rather than free-text reasoning alone.</w:t>
      </w:r>
    </w:p>
    <w:p>
      <w:pPr>
        <w:pStyle w:val="Heading3"/>
        <w:spacing w:after="60" w:before="280"/>
      </w:pPr>
      <w:r>
        <w:rPr>
          <w:rFonts w:ascii="Times New Roman" w:hAnsi="Times New Roman" w:eastAsia="Times New Roman" w:cs="Times New Roman"/>
          <w:b/>
          <w:bCs/>
          <w:color w:val="000000"/>
        </w:rPr>
        <w:t xml:space="preserve">Paper 3 — Large language model agents can use tools to perform clinical calculations</w:t>
      </w:r>
    </w:p>
    <w:p>
      <w:pPr>
        <w:spacing w:after="160"/>
      </w:pPr>
      <w:r>
        <w:rPr>
          <w:rFonts w:ascii="Times New Roman" w:hAnsi="Times New Roman" w:eastAsia="Times New Roman" w:cs="Times New Roman"/>
          <w:i/>
          <w:iCs/>
          <w:sz w:val="24"/>
          <w:szCs w:val="24"/>
          <w:color w:val="000000"/>
        </w:rPr>
        <w:t xml:space="preserve">Goodell AJ, Chu SN, Rouholiman D, Chu LF. npj Digital Medicine, 8: 163, 2025. DOI: 10.1038/s41746-025-01475-8.</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LLMs frequently make arithmetic and formula errors on clinical calculations such as creatinine clearance, which makes unaided models unsafe for dosage-related decisions.</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study first analyzed ChatGPT's errors on 48 calculation tasks, then ran a controlled comparison of five tool configurations: base model, code interpreter, retrieval-augmented generation (RAG), RAG plus code interpreter, and OpenMedCalc, a library of verified task-specific Python calculators exposed to the model as callable tools.</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Two models (LLaMa and GPT) were each tested across the five configurations on the same 1,000 clinical vignettes per arm, producing 10,000 total trials covering a wide range of organ systems and calculators.</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For LLaMa, accuracy rose from 11.4% with the base model to 84.0% once task-specific calculator tools were added, with RAG alone and RAG-plus-code-interpreter reaching intermediate accuracy of 40.3% and 53.5% respectively, showing tools nearly eliminated computational errors.</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The vignettes are synthetic rather than drawn from real patient records, the study evaluates isolated calculations rather than full EHR data extraction, and the authors note that multi-agent configurations were not tested and remain future work.</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paper most directly supports handing dosing calculations such as renal-function-adjusted dosing to verified deterministic tools instead of relying on the agent's own arithmetic, which is central to our clinical reasoning-layer design.</w:t>
      </w:r>
    </w:p>
    <w:p>
      <w:pPr>
        <w:pStyle w:val="Heading3"/>
        <w:spacing w:after="60" w:before="280"/>
      </w:pPr>
      <w:r>
        <w:rPr>
          <w:rFonts w:ascii="Times New Roman" w:hAnsi="Times New Roman" w:eastAsia="Times New Roman" w:cs="Times New Roman"/>
          <w:b/>
          <w:bCs/>
          <w:color w:val="000000"/>
        </w:rPr>
        <w:t xml:space="preserve">Paper 4 — AgentMD: Empowering Language Agents for Risk Prediction with Large-Scale Clinical Tool Learning</w:t>
      </w:r>
    </w:p>
    <w:p>
      <w:pPr>
        <w:spacing w:after="160"/>
      </w:pPr>
      <w:r>
        <w:rPr>
          <w:rFonts w:ascii="Times New Roman" w:hAnsi="Times New Roman" w:eastAsia="Times New Roman" w:cs="Times New Roman"/>
          <w:i/>
          <w:iCs/>
          <w:sz w:val="24"/>
          <w:szCs w:val="24"/>
          <w:color w:val="000000"/>
        </w:rPr>
        <w:t xml:space="preserve">Jin Q, Wang Z, Yang Y, et al. Nature Communications, 16: 9377, 2025. DOI: 10.1038/s41467-025-64430-x.</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Thousands of validated clinical risk calculators exist scattered across the medical literature, but they are not machine-executable, making it hard for an agent to find and correctly apply the right one.</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AgentMD acts first as a "tool-maker," automatically curating 2,164 executable calculators from published literature with unit tests, and then as a "tool-user," using MedCPT-based retrieval to find a relevant calculator for a given patient and computing a risk score.</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The authors built RiskQA, 350 multiple-choice risk-prediction questions, and evaluated the system further on 698 real de-identified emergency-department notes for both individual and population-level analysis.</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Curated tools passed over 85% of automated quality checks and over 90% of unit tests; GPT-4-based AgentMD reached 87.7% accuracy on RiskQA compared with 40.9% for chain-of-thought GPT-4 alone, although tool-selection accuracy dropped from 0.823 with GPT-4 to 0.663 with the weaker GPT-3.5 backbone.</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Performance depends heavily on a strong, likely costly backbone model, RiskQA's multiple-choice format is easier than open-ended clinical use, and the real-note evaluation comes from a single US health system, limiting generalizability.</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The sharp accuracy drop with a weaker backbone is a useful warning for our project, since a budget-constrained SME hospital deployment will likely rely on smaller or open-weight models that may need stronger tool-selection support than AgentMD assumes.</w:t>
      </w:r>
    </w:p>
    <w:p>
      <w:pPr>
        <w:pStyle w:val="Heading3"/>
        <w:spacing w:after="60" w:before="280"/>
      </w:pPr>
      <w:r>
        <w:rPr>
          <w:rFonts w:ascii="Times New Roman" w:hAnsi="Times New Roman" w:eastAsia="Times New Roman" w:cs="Times New Roman"/>
          <w:b/>
          <w:bCs/>
          <w:color w:val="000000"/>
        </w:rPr>
        <w:t xml:space="preserve">Paper 5 — LLM as Clinical Decision Support System Augments Medication Safety in 16 Clinical Specialties</w:t>
      </w:r>
    </w:p>
    <w:p>
      <w:pPr>
        <w:spacing w:after="160"/>
      </w:pPr>
      <w:r>
        <w:rPr>
          <w:rFonts w:ascii="Times New Roman" w:hAnsi="Times New Roman" w:eastAsia="Times New Roman" w:cs="Times New Roman"/>
          <w:i/>
          <w:iCs/>
          <w:sz w:val="24"/>
          <w:szCs w:val="24"/>
          <w:color w:val="000000"/>
        </w:rPr>
        <w:t xml:space="preserve">Ong JCL, et al. Cell Reports Medicine, 6(10): 102323, 2025. DOI: 10.1016/j.xcrm.2025.102323.</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Prescribing errors and drug-related problems are a major preventable source of harm, and pharmacist review capacity to catch every error is limited.</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authors built five retrieval-augmented-generation configurations over drug references and institutional medication guides, then compared the best configuration deployed three ways: LLM alone, pharmacist plus LLM as a co-pilot, and pharmacist alone, in a prospective, cross-over, open-label trial.</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Six pharmacists of varying experience reviewed 91 embedded medication-error scenarios across 40 clinical vignettes spanning 16 specialties.</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The pharmacist-plus-LLM co-pilot configuration performed best overall, with 61% accuracy (F1 0.59), and detected errors with potential for serious harm at 1.5 times the rate of pharmacists working alone.</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The authors note limited generalizability, prompt-sensitivity, and bias, and found RAG did not uniformly help; I further note that 61% absolute accuracy is still low for a safety-critical task, the vignettes are simulated rather than real prescriptions, and the reader pool of six pharmacists is small.</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is the clearest evidence for designing our clinical reasoning agent as a physician-facing co-pilot that flags discrepancies for approval, rather than as an autonomous prescriber, matching the project's "final physician approval" requirement.</w:t>
      </w:r>
    </w:p>
    <w:p>
      <w:pPr>
        <w:pStyle w:val="Heading3"/>
        <w:spacing w:after="60" w:before="280"/>
      </w:pPr>
      <w:r>
        <w:rPr>
          <w:rFonts w:ascii="Times New Roman" w:hAnsi="Times New Roman" w:eastAsia="Times New Roman" w:cs="Times New Roman"/>
          <w:b/>
          <w:bCs/>
          <w:color w:val="000000"/>
        </w:rPr>
        <w:t xml:space="preserve">Paper 6 — Retrieval Augmented Generation for 10 LLMs and Its Generalizability in Assessing Medical Fitness</w:t>
      </w:r>
    </w:p>
    <w:p>
      <w:pPr>
        <w:spacing w:after="160"/>
      </w:pPr>
      <w:r>
        <w:rPr>
          <w:rFonts w:ascii="Times New Roman" w:hAnsi="Times New Roman" w:eastAsia="Times New Roman" w:cs="Times New Roman"/>
          <w:i/>
          <w:iCs/>
          <w:sz w:val="24"/>
          <w:szCs w:val="24"/>
          <w:color w:val="000000"/>
        </w:rPr>
        <w:t xml:space="preserve">Ke YH, Jin L, Elangovan K, et al. npj Digital Medicine, 8: 187, 2025. DOI: 10.1038/s41746-025-01519-z.</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Pre-operative fitness-for-surgery assessment must follow detailed guidelines, but human evaluators are inconsistent and slow, and it is unclear whether LLMs can do this more reliably.</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authors built a RAG pipeline indexing 35 local and 23 international perioperative guidelines, and compared ten LLMs (including GPT-4, GPT-4o, Gemini, Llama 2/3, and Claude) against human doctors across six aspects of pre-operative instruction generation.</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Fourteen de-identified clinical scenarios were used, generating 3,234 model responses compared against 448 human-generated answers, with repeated generations used to check consistency.</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GPT-4 with RAG over international guidelines reached 96.4% accuracy on fitness-for-surgery decisions versus 86.6% for human doctors, generated answers in 15–20 seconds versus roughly 10 minutes for humans, and had a lower false-negative rate for missing unfit patients (25% versus 62.5% for humans).</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Only 14 scenarios were tested, which is a very small evaluation set; results depend heavily on which guideline set is indexed; the scenarios are simulated rather than pulled from a live EHR; and no lab-value verification tool is used alongside the RAG retrieval.</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paper maps directly onto the "process guardian" pre-operative checks in our project, since guideline-grounded RAG can supply the reference thresholds for hemoglobin, potassium, and anticoagulation timing that our auditing agent needs to check against.</w:t>
      </w:r>
    </w:p>
    <w:p>
      <w:pPr>
        <w:pStyle w:val="Heading3"/>
        <w:spacing w:after="60" w:before="280"/>
      </w:pPr>
      <w:r>
        <w:rPr>
          <w:rFonts w:ascii="Times New Roman" w:hAnsi="Times New Roman" w:eastAsia="Times New Roman" w:cs="Times New Roman"/>
          <w:b/>
          <w:bCs/>
          <w:color w:val="000000"/>
        </w:rPr>
        <w:t xml:space="preserve">Paper 7 — Retrieval-Augmented Language Models for Patient-Centered Periprocedural Anticoagulation in Interventional Radiology</w:t>
      </w:r>
    </w:p>
    <w:p>
      <w:pPr>
        <w:spacing w:after="160"/>
      </w:pPr>
      <w:r>
        <w:rPr>
          <w:rFonts w:ascii="Times New Roman" w:hAnsi="Times New Roman" w:eastAsia="Times New Roman" w:cs="Times New Roman"/>
          <w:i/>
          <w:iCs/>
          <w:sz w:val="24"/>
          <w:szCs w:val="24"/>
          <w:color w:val="000000"/>
        </w:rPr>
        <w:t xml:space="preserve">Zaki HA, Brea A, Parvataneni K, et al. CardioVascular and Interventional Radiology, 49(6): 1177–1187, 2026. DOI: 10.1007/s00270-026-04428-0.</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Deciding when to withhold and restart anticoagulation around a procedure is guideline-heavy and error-prone, which is precisely the kind of timing decision our surgical "process guardian" needs to verify.</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Five LLMs — Claude-3.5-Sonnet, GPT-4o, LLaMA-3.1, Mistral-Large, and Qwen-2.5 — were connected to a LlamaIndex RAG system indexing Society of Interventional Radiology guidelines, and their outputs were scored for guideline concordance on withholding decisions, hold/restart timeframes, and platelet/INR thresholds.</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394 real procedure–anticoagulant pairs were extracted from the public, credentialed MIMIC-IV database.</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Claude achieved the highest overall concordance (1.51 out of 2); withholding decisions were handled well by most models (around 1.86–1.88), but reinitiation-timing guidance was consistently weaker (about 1.34–1.37), and the open-weight models LLaMA and Qwen scored far lower (0.76 and 0.52).</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A single human assessor scored concordance for each output, the 394 cases are static snapshots rather than longitudinal medication timelines, no renal-function adjustment is modeled, and open-weight models perform noticeably worse, which matters for a cost-constrained deployment.</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is the closest published analogue to our anticoagulation-pause-timing guardian task, and its finding that restart-timing guidance is the weakest skill area directly motivates building and testing a dedicated temporal-verification component rather than relying on general guideline RAG alone.</w:t>
      </w:r>
    </w:p>
    <w:p>
      <w:pPr>
        <w:pStyle w:val="Heading3"/>
        <w:spacing w:after="60" w:before="280"/>
      </w:pPr>
      <w:r>
        <w:rPr>
          <w:rFonts w:ascii="Times New Roman" w:hAnsi="Times New Roman" w:eastAsia="Times New Roman" w:cs="Times New Roman"/>
          <w:b/>
          <w:bCs/>
          <w:color w:val="000000"/>
        </w:rPr>
        <w:t xml:space="preserve">Paper 8 — From Dictation to Diagnosis: Enhancing Radiology Reporting with Integrated Speech Recognition in Multimodal LLMs</w:t>
      </w:r>
    </w:p>
    <w:p>
      <w:pPr>
        <w:spacing w:after="160"/>
      </w:pPr>
      <w:r>
        <w:rPr>
          <w:rFonts w:ascii="Times New Roman" w:hAnsi="Times New Roman" w:eastAsia="Times New Roman" w:cs="Times New Roman"/>
          <w:i/>
          <w:iCs/>
          <w:sz w:val="24"/>
          <w:szCs w:val="24"/>
          <w:color w:val="000000"/>
        </w:rPr>
        <w:t xml:space="preserve">Gertz RJ, Beste NC, Dratsch T, et al. European Radiology, 36(2): 1553–1561, 2026 (published online 2025). DOI: 10.1007/s00330-025-11929-y.</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Conventional dictation-based radiology reporting using speech-recognition software is slow and requires extensive manual correction, which is the same inefficiency the project's sonography-reporting subproject aims to remove.</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Radiologists gave brief audio input directly to audio-capable multimodal LLMs (GPT-4o and Claude Sonnet 3.5), which generated full structured reports, and this workflow was compared statistically against conventional speech-recognition-based reporting.</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480 reports drawn from 80 retrospective multimodal imaging studies were produced and rated for structure and quality by two board-certified radiologists.</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Average reporting time fell from 88.0 to 38.9 seconds, the number of required corrections dropped from 2.4 to about 1.0, and estimated cost per report fell from $3.0 to roughly $2.3, with Claude Sonnet's reports rated highest in overall quality.</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The authors note licensing cost and uncertain generalizability; we also note the study used only two readers at one German center, tested audio input alone without any accompanying images, relied on cloud-based models that raise data-protection concerns, and did not test accented or non-English speech.</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paper is the strongest direct evidence that a voice-driven reporting pipeline can meaningfully cut reporting time and corrections, and its time/correction/cost metrics give our sonography subproject a ready template for evaluation.</w:t>
      </w:r>
    </w:p>
    <w:p>
      <w:pPr>
        <w:pStyle w:val="Heading3"/>
        <w:spacing w:after="60" w:before="280"/>
      </w:pPr>
      <w:r>
        <w:rPr>
          <w:rFonts w:ascii="Times New Roman" w:hAnsi="Times New Roman" w:eastAsia="Times New Roman" w:cs="Times New Roman"/>
          <w:b/>
          <w:bCs/>
          <w:color w:val="000000"/>
        </w:rPr>
        <w:t xml:space="preserve">Paper 9 — UltraReporter: Transforming Spoken Diagnostic Cues into Structured Ultrasound Reports with LLMs</w:t>
      </w:r>
    </w:p>
    <w:p>
      <w:pPr>
        <w:spacing w:after="160"/>
      </w:pPr>
      <w:r>
        <w:rPr>
          <w:rFonts w:ascii="Times New Roman" w:hAnsi="Times New Roman" w:eastAsia="Times New Roman" w:cs="Times New Roman"/>
          <w:i/>
          <w:iCs/>
          <w:sz w:val="24"/>
          <w:szCs w:val="24"/>
          <w:color w:val="000000"/>
        </w:rPr>
        <w:t xml:space="preserve">Hao P, Zhang J, Zhang S, et al. Scientific Reports, 16: 13662, 2026. DOI: 10.1038/s41598-026-41439-w.</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Sonographers verbally call out findings during an exam, and converting these spoken cues into a formal structured report is currently a manual, time-consuming task, which is exactly the workflow our first subproject targets.</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authors used a compact 8-billion-parameter LLM, with a multi-agent framework synthesizing paired "spoken cue to structured report" training data, followed by template-augmented supervised fine-tuning and a defect-oriented preference-optimization step to suppress hallucinated findings.</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21,540 synthesized Chinese cue–report pairs covering 324 anatomical sites were used for training, with evaluation on 1,311 gold-standard cases and an additional prospective clinical set.</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The model outperformed nine other state-of-the-art LLMs, reaching a clinical accuracy score of 4.82 and BLEU-4 of 89.42, and in a blinded reader study its reports were rated above those written by chief physicians, with 72% of prospective reports judged equivalent to the originals.</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The system only works in Chinese, its training pairs are synthetic rather than drawn from real dictation, it processes text cues rather than raw audio so speech-recognition errors are not modeled, and it uses no image input despite being an ultrasound-reporting system.</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This is the closest existing system to our sonography subproject and shows that a small, locally deployable model can achieve strong results, which is encouraging for an SME hospital's budget, though it also highlights the image-fusion gap our project could fill.</w:t>
      </w:r>
    </w:p>
    <w:p>
      <w:pPr>
        <w:pStyle w:val="Heading3"/>
        <w:spacing w:after="60" w:before="280"/>
      </w:pPr>
      <w:r>
        <w:rPr>
          <w:rFonts w:ascii="Times New Roman" w:hAnsi="Times New Roman" w:eastAsia="Times New Roman" w:cs="Times New Roman"/>
          <w:b/>
          <w:bCs/>
          <w:color w:val="000000"/>
        </w:rPr>
        <w:t xml:space="preserve">Paper 10 — Clinical and Economic Impact of a Large Language Model in Perioperative Medicine: A Randomized Crossover Trial</w:t>
      </w:r>
    </w:p>
    <w:p>
      <w:pPr>
        <w:spacing w:after="160"/>
      </w:pPr>
      <w:r>
        <w:rPr>
          <w:rFonts w:ascii="Times New Roman" w:hAnsi="Times New Roman" w:eastAsia="Times New Roman" w:cs="Times New Roman"/>
          <w:i/>
          <w:iCs/>
          <w:sz w:val="24"/>
          <w:szCs w:val="24"/>
          <w:color w:val="000000"/>
        </w:rPr>
        <w:t xml:space="preserve">Ke YH, Ong BSY, Jin L, et al. npj Digital Medicine, 8: 462, 2025. DOI: 10.1038/s41746-025-01858-x.</w:t>
      </w:r>
    </w:p>
    <w:p>
      <w:pPr>
        <w:spacing w:after="120"/>
      </w:pPr>
      <w:r>
        <w:rPr>
          <w:rFonts w:ascii="Times New Roman" w:hAnsi="Times New Roman" w:eastAsia="Times New Roman" w:cs="Times New Roman"/>
          <w:b/>
          <w:bCs/>
          <w:color w:val="000000"/>
        </w:rPr>
        <w:t xml:space="preserve">Problem: </w:t>
      </w:r>
      <w:r>
        <w:rPr>
          <w:rFonts w:ascii="Times New Roman" w:hAnsi="Times New Roman" w:eastAsia="Times New Roman" w:cs="Times New Roman"/>
          <w:color w:val="000000"/>
        </w:rPr>
        <w:t xml:space="preserve">It is unclear whether deploying an LLM-based clinical decision-support chatbot in a real pre-operative clinic actually saves clinician documentation time and money, as opposed to only performing well in offline tests.</w:t>
      </w:r>
    </w:p>
    <w:p>
      <w:pPr>
        <w:spacing w:after="120"/>
      </w:pPr>
      <w:r>
        <w:rPr>
          <w:rFonts w:ascii="Times New Roman" w:hAnsi="Times New Roman" w:eastAsia="Times New Roman" w:cs="Times New Roman"/>
          <w:b/>
          <w:bCs/>
          <w:color w:val="000000"/>
        </w:rPr>
        <w:t xml:space="preserve">Method: </w:t>
      </w:r>
      <w:r>
        <w:rPr>
          <w:rFonts w:ascii="Times New Roman" w:hAnsi="Times New Roman" w:eastAsia="Times New Roman" w:cs="Times New Roman"/>
          <w:color w:val="000000"/>
        </w:rPr>
        <w:t xml:space="preserve">The authors built PEACH, a long-context LLM chatbot running on a secure government platform over local perioperative guidelines, and tested it in a prospective two-day randomized crossover trial with resident physicians who retained final clinical decision authority.</w:t>
      </w:r>
    </w:p>
    <w:p>
      <w:pPr>
        <w:spacing w:after="120"/>
      </w:pPr>
      <w:r>
        <w:rPr>
          <w:rFonts w:ascii="Times New Roman" w:hAnsi="Times New Roman" w:eastAsia="Times New Roman" w:cs="Times New Roman"/>
          <w:b/>
          <w:bCs/>
          <w:color w:val="000000"/>
        </w:rPr>
        <w:t xml:space="preserve">Data: </w:t>
      </w:r>
      <w:r>
        <w:rPr>
          <w:rFonts w:ascii="Times New Roman" w:hAnsi="Times New Roman" w:eastAsia="Times New Roman" w:cs="Times New Roman"/>
          <w:color w:val="000000"/>
        </w:rPr>
        <w:t xml:space="preserve">272 real pre-operative documentation records from Singapore General Hospital were analyzed, 161 without PEACH and 111 with it.</w:t>
      </w:r>
    </w:p>
    <w:p>
      <w:pPr>
        <w:spacing w:after="120"/>
      </w:pPr>
      <w:r>
        <w:rPr>
          <w:rFonts w:ascii="Times New Roman" w:hAnsi="Times New Roman" w:eastAsia="Times New Roman" w:cs="Times New Roman"/>
          <w:b/>
          <w:bCs/>
          <w:color w:val="000000"/>
        </w:rPr>
        <w:t xml:space="preserve">Results: </w:t>
      </w:r>
      <w:r>
        <w:rPr>
          <w:rFonts w:ascii="Times New Roman" w:hAnsi="Times New Roman" w:eastAsia="Times New Roman" w:cs="Times New Roman"/>
          <w:color w:val="000000"/>
        </w:rPr>
        <w:t xml:space="preserve">PEACH did not significantly reduce overall documentation time, but it cut time by 5.77 minutes per patient specifically for moderate-complexity cases, with modeled annual savings of about USD 146,000 across the sensitivity analysis range.</w:t>
      </w:r>
    </w:p>
    <w:p>
      <w:pPr>
        <w:spacing w:after="120"/>
      </w:pPr>
      <w:r>
        <w:rPr>
          <w:rFonts w:ascii="Times New Roman" w:hAnsi="Times New Roman" w:eastAsia="Times New Roman" w:cs="Times New Roman"/>
          <w:b/>
          <w:bCs/>
          <w:color w:val="000000"/>
        </w:rPr>
        <w:t xml:space="preserve">Limitations: </w:t>
      </w:r>
      <w:r>
        <w:rPr>
          <w:rFonts w:ascii="Times New Roman" w:hAnsi="Times New Roman" w:eastAsia="Times New Roman" w:cs="Times New Roman"/>
          <w:color w:val="000000"/>
        </w:rPr>
        <w:t xml:space="preserve">The trial was short, single-center, and case complexity was imbalanced between the two study arms; the headline cost savings are modeled projections rather than directly observed savings, and long-context prompting is more computationally costly than a RAG-based approach.</w:t>
      </w:r>
    </w:p>
    <w:p>
      <w:pPr>
        <w:spacing w:after="120"/>
      </w:pPr>
      <w:r>
        <w:rPr>
          <w:rFonts w:ascii="Times New Roman" w:hAnsi="Times New Roman" w:eastAsia="Times New Roman" w:cs="Times New Roman"/>
          <w:b/>
          <w:bCs/>
          <w:color w:val="000000"/>
        </w:rPr>
        <w:t xml:space="preserve">Relevance: </w:t>
      </w:r>
      <w:r>
        <w:rPr>
          <w:rFonts w:ascii="Times New Roman" w:hAnsi="Times New Roman" w:eastAsia="Times New Roman" w:cs="Times New Roman"/>
          <w:color w:val="000000"/>
        </w:rPr>
        <w:t xml:space="preserve">As a rare real-world, human-in-the-loop trial rather than an offline benchmark, this paper is a useful reality check that our project's efficiency claims should be tested on real workflow segments and reported honestly, including cases where gains may be limited to specific complexity strata.</w:t>
      </w:r>
    </w:p>
    <w:p>
      <w:pPr>
        <w:sectPr>
          <w:pgSz w:w="12240" w:h="15840" w:orient="portrait"/>
          <w:pgMar w:top="1440" w:right="1440" w:bottom="1440" w:left="1440" w:header="708" w:footer="708" w:gutter="0"/>
          <w:pgNumType/>
          <w:docGrid w:linePitch="360"/>
        </w:sectPr>
      </w:pPr>
    </w:p>
    <w:p>
      <w:pPr>
        <w:pStyle w:val="Heading2"/>
        <w:spacing w:after="160"/>
      </w:pPr>
      <w:r>
        <w:rPr>
          <w:rFonts w:ascii="Times New Roman" w:hAnsi="Times New Roman" w:eastAsia="Times New Roman" w:cs="Times New Roman"/>
          <w:color w:val="000000"/>
        </w:rPr>
        <w:t xml:space="preserve">4.2  Cross-Paper Comparison Table</w:t>
      </w:r>
    </w:p>
    <w:p>
      <w:pPr>
        <w:spacing w:after="200"/>
      </w:pPr>
      <w:r>
        <w:rPr>
          <w:rFonts w:ascii="Times New Roman" w:hAnsi="Times New Roman" w:eastAsia="Times New Roman" w:cs="Times New Roman"/>
          <w:i/>
          <w:iCs/>
          <w:sz w:val="24"/>
          <w:szCs w:val="24"/>
          <w:color w:val="000000"/>
        </w:rPr>
        <w:t xml:space="preserve">The base paper is marked ★ BASE in row 1.</w:t>
      </w:r>
    </w:p>
    <w:tbl>
      <w:tblPr>
        <w:tblW w:type="dxa" w:w="14840"/>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1500"/>
        <w:gridCol w:w="2300"/>
        <w:gridCol w:w="2700"/>
        <w:gridCol w:w="1900"/>
        <w:gridCol w:w="2300"/>
        <w:gridCol w:w="1790"/>
      </w:tblGrid>
      <w:tr>
        <w:trPr>
          <w:tblHeader/>
        </w:trPr>
        <w:tc>
          <w:tcPr>
            <w:tcW w:type="dxa" w:w="45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w:t>
            </w:r>
          </w:p>
        </w:tc>
        <w:tc>
          <w:tcPr>
            <w:tcW w:type="dxa" w:w="19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Title</w:t>
            </w:r>
          </w:p>
        </w:tc>
        <w:tc>
          <w:tcPr>
            <w:tcW w:type="dxa" w:w="150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Year &amp; Venue</w:t>
            </w:r>
          </w:p>
        </w:tc>
        <w:tc>
          <w:tcPr>
            <w:tcW w:type="dxa" w:w="230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Dataset / Benchmark</w:t>
            </w:r>
          </w:p>
        </w:tc>
        <w:tc>
          <w:tcPr>
            <w:tcW w:type="dxa" w:w="27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Method / Agent Architecture</w:t>
            </w:r>
          </w:p>
        </w:tc>
        <w:tc>
          <w:tcPr>
            <w:tcW w:type="dxa" w:w="19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Evaluation Metrics</w:t>
            </w:r>
          </w:p>
        </w:tc>
        <w:tc>
          <w:tcPr>
            <w:tcW w:type="dxa" w:w="23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Key Results</w:t>
            </w:r>
          </w:p>
        </w:tc>
        <w:tc>
          <w:tcPr>
            <w:tcW w:type="dxa" w:w="179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Limitations / Research Gap</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1 ★ BASE</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MedAgentBench</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2025, NEJM AI</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300 physician-written tasks; 100 synthetic patients; public FHIR server</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Single LLM agent issuing FHIR GET/POST calls</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Task success rate (overall / query / action)</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Best 69.67% (Claude 3.5 Sonnet v2); query 85.33% vs action 54.00%</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No harm-severity scoring; no tool-augmented or guardian baselines; action tasks weak</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Autonomous oncology agent (Ferber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2025, Nature Cancer</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 simulated multimodal cases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GPT-4 agent + vision models, MedSAM, OncoKB, PubMed/web search, guideline RAG</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Tool-use accuracy; conclusion correctness; citation accuracy</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Tools 87.5%; correct conclusions 91.0%; accuracy 30.3% → 87.2% vs GPT-4 alone</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Tiny private dataset; proprietary backbone; no prospective validation</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3</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LLM agents use tools for clinical calculations (Goodell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2025, npj Digital Medicine</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48 tasks / 212 vignettes; 1,000 vignettes × 10 arms = 10,000 trials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Ablation: base / code interpreter / RAG / OpenMedCalc tool library</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 correct; odds ratio; error taxonomy</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LLaMa accuracy 11.4% → 84.0% with task-specific tools</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Synthetic vignettes; no EHR extraction; no multi-agent tested</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4</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AgentMD (Jin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2025, Nature Communications</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RiskQA (350 Qs) + 698 ED notes; 2,164 curated calculators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Tool-maker + tool-user agent with MedCPT retrieval</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Accuracy; tool-selection accuracy; unit-test pass rate</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87.7% vs 40.9% (CoT); selection 0.823 (GPT-4) vs 0.663 (GPT-3.5)</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Backbone-dependent; MCQ format; not dosing-focused</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5</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LLM-CDSS medication safety (Ong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2025, Cell Reports Medicine</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91 error scenarios / 40 vignettes / 16 specialties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RAG-LLM; autonomous vs co-pilot vs pharmacist-alone</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Accuracy; precision; recall; F1; severe-harm detection</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Co-pilot best: accuracy 61%, F1 0.59; 1.5× on serious-harm errors</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Low absolute accuracy; simulated vignettes; RAG gains inconsistent</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6</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RAG for 10 LLMs, medical fitness (Ke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2025, npj Digital Medicine</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14 pre-operative scenarios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Guideline RAG (local vs international) across 10 LLMs vs doctors</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Accuracy; consistency; hallucination rate; safety (false-negative rate)</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96.4% vs 86.6% doctors; 15–20s generation vs ~10 min for humans</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Very small sample; results guideline-set dependent</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7</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RAG for periprocedural anticoagulation (Zaki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2026, CardioVasc Intervent Radiol</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394 procedure–anticoagulant pairs from MIMIC-IV</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LlamaIndex RAG over SIR guidelines; 5 LLMs compared</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0–2 guideline-concordance score per sub-decision</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Claude 1.51/2; hold decisions ~1.88; restart timing ~1.34–1.37; Qwen 0.52</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Single grader; static pairs not timelines; open models weak</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8</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From dictation to diagnosis (Gertz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2025/2026, European Radiology</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480 reports / 80 studies / 2 radiologists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Audio-input multimodal LLMs vs speech-recognition workflow</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Reporting time; corrections; cost; quality ratings</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88.0s → 38.9s; corrections 2.4 → ~1.0; cost $3.0 → $2.3</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Audio only, no images; 2 readers; cloud/privacy concerns</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9</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UltraReporter (Hao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2026, Scientific Reports</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21,540 synthetic Chinese cue–report pairs; 1,311 gold cases</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8B LLM; multi-agent data synthesis + template SFT + preference optimization</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BLEU-4; clinical accuracy score; blinded reader study</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BLEU-4 89.42; accuracy 4.82; 72% prospective equivalence; ~1s generation</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Chinese only; text cues not audio; no image input; single center</w:t>
            </w:r>
          </w:p>
        </w:tc>
      </w:tr>
      <w:tr>
        <w:tc>
          <w:tcPr>
            <w:tcW w:type="dxa" w:w="45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10</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PEACH randomized crossover trial (Ke et al.)</w:t>
            </w:r>
          </w:p>
        </w:tc>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2025, npj Digital Medicine</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272 real documentation records, Singapore General Hospital</w:t>
            </w:r>
          </w:p>
        </w:tc>
        <w:tc>
          <w:tcPr>
            <w:tcW w:type="dxa" w:w="27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Long-context guideline LLM CDSS, clinician-in-the-loop</w:t>
            </w:r>
          </w:p>
        </w:tc>
        <w:tc>
          <w:tcPr>
            <w:tcW w:type="dxa" w:w="19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Documentation time; quality; acceptance; modeled cost</w:t>
            </w:r>
          </w:p>
        </w:tc>
        <w:tc>
          <w:tcPr>
            <w:tcW w:type="dxa" w:w="23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No overall time reduction; −5.77 min (moderate-complexity cases); ~USD 146k/yr modeled</w:t>
            </w:r>
          </w:p>
        </w:tc>
        <w:tc>
          <w:tcPr>
            <w:tcW w:type="dxa" w:w="179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Short, single-center trial; arm imbalance; savings are modeled, not observed</w:t>
            </w:r>
          </w:p>
        </w:tc>
      </w:tr>
    </w:tbl>
    <w:p>
      <w:pPr>
        <w:sectPr>
          <w:pgSz w:w="15840" w:h="12240" w:orient="portrait"/>
          <w:pgMar w:top="720" w:right="500" w:bottom="720" w:left="500" w:header="708" w:footer="708" w:gutter="0"/>
          <w:pgNumType/>
          <w:docGrid w:linePitch="360"/>
        </w:sectPr>
      </w:pPr>
    </w:p>
    <w:p>
      <w:pPr>
        <w:pStyle w:val="Heading2"/>
        <w:spacing w:after="160"/>
      </w:pPr>
      <w:r>
        <w:rPr>
          <w:rFonts w:ascii="Times New Roman" w:hAnsi="Times New Roman" w:eastAsia="Times New Roman" w:cs="Times New Roman"/>
          <w:color w:val="000000"/>
        </w:rPr>
        <w:t xml:space="preserve">4.3  Research Gap Synthesis</w:t>
      </w:r>
    </w:p>
    <w:p>
      <w:pPr>
        <w:spacing w:after="160"/>
      </w:pPr>
      <w:r>
        <w:rPr>
          <w:rFonts w:ascii="Times New Roman" w:hAnsi="Times New Roman" w:eastAsia="Times New Roman" w:cs="Times New Roman"/>
          <w:color w:val="000000"/>
        </w:rPr>
        <w:t xml:space="preserve">Across the ten reviewed papers, two patterns stand out. First, agentic systems are already reliable at retrieving and summarizing clinical information but remain unreliable when they must take an action or verify a time-sensitive clinical process. Second, deterministic tool-grounding (calculators, guideline retrieval, structured data pulls) consistently outperforms relying on an LLM's own reasoning for safety-critical numerical and timing decisions. From this analysis we identified more than three candidate gaps and selected the three strongest below, each of which is specific, evidence-based, directly relevant to the base paper and our project, and testable within one semester using synthetic or public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30"/>
        <w:gridCol w:w="2830"/>
      </w:tblGrid>
      <w:tr>
        <w:trPr>
          <w:tblHeader/>
        </w:trPr>
        <w:tc>
          <w:tcPr>
            <w:tcW w:type="dxa" w:w="15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Gap</w:t>
            </w:r>
          </w:p>
        </w:tc>
        <w:tc>
          <w:tcPr>
            <w:tcW w:type="dxa" w:w="2200"/>
            <w:tcMar>
              <w:top w:type="dxa" w:w="80"/>
              <w:left w:type="dxa" w:w="100"/>
              <w:bottom w:type="dxa" w:w="80"/>
              <w:right w:type="dxa" w:w="100"/>
            </w:tcMar>
            <w:vAlign w:val="center"/>
          </w:tcPr>
          <w:p>
            <w:r>
              <w:rPr>
                <w:rFonts w:ascii="Times New Roman" w:hAnsi="Times New Roman" w:eastAsia="Times New Roman" w:cs="Times New Roman"/>
                <w:b/>
                <w:bCs/>
                <w:color w:val="000000"/>
                <w:sz w:val="24"/>
                <w:szCs w:val="24"/>
              </w:rPr>
              <w:t xml:space="preserve">Supporting evidence (papers)</w:t>
            </w:r>
          </w:p>
        </w:tc>
        <w:tc>
          <w:tcPr>
            <w:tcW w:type="dxa" w:w="283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Proposed approach</w:t>
            </w:r>
          </w:p>
        </w:tc>
        <w:tc>
          <w:tcPr>
            <w:tcW w:type="dxa" w:w="2830"/>
            <w:tcMar>
              <w:top w:type="dxa" w:w="80"/>
              <w:left w:type="dxa" w:w="100"/>
              <w:bottom w:type="dxa" w:w="80"/>
              <w:right w:type="dxa" w:w="100"/>
            </w:tcMar>
            <w:vAlign w:val="center"/>
          </w:tcPr>
          <w:p>
            <w:r>
              <w:rPr>
                <w:rFonts w:ascii="Times New Roman" w:hAnsi="Times New Roman" w:eastAsia="Times New Roman" w:cs="Times New Roman"/>
                <w:b/>
                <w:bCs/>
                <w:color w:val="000000"/>
                <w:sz w:val="20"/>
                <w:szCs w:val="20"/>
              </w:rPr>
              <w:t xml:space="preserve">How it will be measured</w:t>
            </w:r>
          </w:p>
        </w:tc>
      </w:tr>
      <w:tr>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1 — Agentic EHR systems are reliable at retrieving clinical data but unreliable at taking safe dosing actions.</w:t>
            </w:r>
          </w:p>
        </w:tc>
        <w:tc>
          <w:tcPr>
            <w:tcW w:type="dxa" w:w="22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Paper 1 (MedAgentBench): best model's action-task success is 54.00% vs 85.33% on query tasks. Paper 3 (Goodell): free-text dosing arithmetic is only 11.4% accurate but reaches 84.0% with task-specific tools. Paper 4 (AgentMD): tool-selection accuracy falls from 0.823 to 0.663 with a weaker backbone.</w:t>
            </w:r>
          </w:p>
        </w:tc>
        <w:tc>
          <w:tcPr>
            <w:tcW w:type="dxa" w:w="28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Extend an EHR agent (built on the MedAgentBench FHIR environment) with a deterministic tool layer for renal-function-adjusted dosing (e.g., Cockcroft-Gault/eGFR, weight-based dosing, drug-label lookup) and a verification step before any order is written.</w:t>
            </w:r>
          </w:p>
        </w:tc>
        <w:tc>
          <w:tcPr>
            <w:tcW w:type="dxa" w:w="28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Action-task success rate and overall success rate on MedAgentBench medication/lab tasks, plus a custom renal-dosing subset on synthetic FHIR patients; dose-error rate weighted by clinician-defined severity.</w:t>
            </w:r>
          </w:p>
        </w:tc>
      </w:tr>
      <w:tr>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Gap 2 — No published agent evaluates whether a clinical safety process was followed correctly over time (e.g., anticoagulation hold intervals, pre-operative lab thresholds).</w:t>
            </w:r>
          </w:p>
        </w:tc>
        <w:tc>
          <w:tcPr>
            <w:tcW w:type="dxa" w:w="220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Paper 7 (Zaki et al.): restart-timing guidance is the weakest skill area (~1.34–1.37/2) and uses only static procedure–anticoagulant pairs, not patient timelines. Paper 6 (Ke et al.): only 14 static pre-operative scenarios tested, no lab-value verification tool. Paper 5 (Ong et al.): low absolute medication-safety accuracy (61%).</w:t>
            </w:r>
          </w:p>
        </w:tc>
        <w:tc>
          <w:tcPr>
            <w:tcW w:type="dxa" w:w="283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Build a "process guardian" agent that pulls medication-administration and lab-observation timelines from FHIR data, checks hold/restart intervals and pre-operative potassium/hemoglobin values against guideline-derived thresholds (via RAG), and flags discrepancies for physician review.</w:t>
            </w:r>
          </w:p>
        </w:tc>
        <w:tc>
          <w:tcPr>
            <w:tcW w:type="dxa" w:w="28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Discrepancy detection precision, recall, and F1 against synthetic patients with injected timing/value errors; false-alert rate per patient; severity-weighted miss rate using thresholds defined with clinical supervisors.</w:t>
            </w:r>
          </w:p>
        </w:tc>
      </w:tr>
      <w:tr>
        <w:tc>
          <w:tcPr>
            <w:tcW w:type="dxa" w:w="15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Gap 3 — No existing system fuses ultrasound/sonography machine screenshots with the radiologist's spoken annotation into one automated report.</w:t>
            </w:r>
          </w:p>
        </w:tc>
        <w:tc>
          <w:tcPr>
            <w:tcW w:type="dxa" w:w="2200"/>
            <w:tcMar>
              <w:top w:type="dxa" w:w="80"/>
              <w:left w:type="dxa" w:w="100"/>
              <w:bottom w:type="dxa" w:w="80"/>
              <w:right w:type="dxa" w:w="100"/>
            </w:tcMar>
            <w:vAlign w:val="center"/>
          </w:tcPr>
          <w:p>
            <w:r>
              <w:rPr>
                <w:rFonts w:ascii="Times New Roman" w:hAnsi="Times New Roman" w:eastAsia="Times New Roman" w:cs="Times New Roman"/>
                <w:b w:val="false"/>
                <w:bCs w:val="false"/>
                <w:sz w:val="24"/>
                <w:szCs w:val="24"/>
                <w:color w:val="000000"/>
              </w:rPr>
              <w:t xml:space="preserve">Paper 8 (Gertz et al.): uses audio input only, no accompanying images. Paper 9 (Hao et al. — UltraReporter): uses text cues only, no raw audio and no image input, and is Chinese-language only.</w:t>
            </w:r>
          </w:p>
        </w:tc>
        <w:tc>
          <w:tcPr>
            <w:tcW w:type="dxa" w:w="28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Build a pipeline that extracts measurements from ultrasound screenshots (OCR/vision-LLM) and transcribes the radiologist's spoken annotation (ASR), then fuses both into a structured report using a template-constrained LLM; compare audio-only, image-only, and fused-input configurations.</w:t>
            </w:r>
          </w:p>
        </w:tc>
        <w:tc>
          <w:tcPr>
            <w:tcW w:type="dxa" w:w="2830"/>
            <w:tcMar>
              <w:top w:type="dxa" w:w="80"/>
              <w:left w:type="dxa" w:w="100"/>
              <w:bottom w:type="dxa" w:w="80"/>
              <w:right w:type="dxa" w:w="100"/>
            </w:tcMar>
            <w:vAlign w:val="center"/>
          </w:tcPr>
          <w:p>
            <w:r>
              <w:rPr>
                <w:rFonts w:ascii="Times New Roman" w:hAnsi="Times New Roman" w:eastAsia="Times New Roman" w:cs="Times New Roman"/>
                <w:b w:val="false"/>
                <w:bCs w:val="false"/>
                <w:sz w:val="20"/>
                <w:szCs w:val="20"/>
                <w:color w:val="000000"/>
              </w:rPr>
              <w:t xml:space="preserve">Measurement transcription error rate; field-level F1 for report sections; clinician Likert-scale accuracy rating (as in Paper 9); reporting time and correction count per report (as in Paper 8).</w:t>
            </w:r>
          </w:p>
        </w:tc>
      </w:tr>
    </w:tbl>
    <w:p>
      <w:pPr>
        <w:spacing w:before="240"/>
      </w:pPr>
      <w:r>
        <w:rPr>
          <w:rFonts w:ascii="Times New Roman" w:hAnsi="Times New Roman" w:eastAsia="Times New Roman" w:cs="Times New Roman"/>
          <w:color w:val="000000"/>
        </w:rPr>
        <w:t xml:space="preserve">Gaps 1 and 2 together form the core evaluation focus for the agentic clinical-reasoning and "process guardian" subproject, built and benchmarked on the MedAgentBench base paper's environment. Gap 3 extends the review to the sonography-reporting subproject and will be pursued alongside Gaps 1–2 as scope and timeline allow.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Fonts w:ascii="Times New Roman" w:hAnsi="Times New Roman" w:eastAsia="Times New Roman" w:cs="Times New Roman"/>
          <w:rStyle w:val="EndnoteReference"/>
          <w:color w:val="000000"/>
        </w:rPr>
        <w:endnoteRef/>
      </w:r>
      <w:r>
        <w:rPr>
          <w:rFonts w:ascii="Times New Roman" w:hAnsi="Times New Roman" w:eastAsia="Times New Roman" w:cs="Times New Roman"/>
          <w:color w:val="000000"/>
        </w:rPr>
        <w:separator/>
      </w:r>
    </w:p>
  </w:endnote>
  <w:endnote w:type="continuationSeparator" w:id="0">
    <w:p>
      <w:pPr>
        <w:spacing w:after="0" w:line="240" w:lineRule="auto"/>
      </w:pPr>
      <w:r>
        <w:rPr>
          <w:rFonts w:ascii="Times New Roman" w:hAnsi="Times New Roman" w:eastAsia="Times New Roman" w:cs="Times New Roman"/>
          <w:rStyle w:val="EndnoteReference"/>
          <w:color w:val="000000"/>
        </w:rPr>
        <w:endnoteRef/>
      </w:r>
      <w:r>
        <w:rPr>
          <w:rFonts w:ascii="Times New Roman" w:hAnsi="Times New Roman" w:eastAsia="Times New Roman" w:cs="Times New Roman"/>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Fonts w:ascii="Times New Roman" w:hAnsi="Times New Roman" w:eastAsia="Times New Roman" w:cs="Times New Roman"/>
          <w:rStyle w:val="FootnoteReference"/>
          <w:color w:val="000000"/>
        </w:rPr>
        <w:footnoteRef/>
      </w:r>
      <w:r>
        <w:rPr>
          <w:rFonts w:ascii="Times New Roman" w:hAnsi="Times New Roman" w:eastAsia="Times New Roman" w:cs="Times New Roman"/>
          <w:color w:val="000000"/>
        </w:rPr>
        <w:separator/>
      </w:r>
    </w:p>
  </w:footnote>
  <w:footnote w:type="continuationSeparator" w:id="0">
    <w:p>
      <w:pPr>
        <w:spacing w:after="0" w:line="240" w:lineRule="auto"/>
      </w:pPr>
      <w:r>
        <w:rPr>
          <w:rFonts w:ascii="Times New Roman" w:hAnsi="Times New Roman" w:eastAsia="Times New Roman" w:cs="Times New Roman"/>
          <w:rStyle w:val="FootnoteReference"/>
          <w:color w:val="000000"/>
        </w:rPr>
        <w:footnoteRef/>
      </w:r>
      <w:r>
        <w:rPr>
          <w:rFonts w:ascii="Times New Roman" w:hAnsi="Times New Roman" w:eastAsia="Times New Roman" w:cs="Times New Roman"/>
          <w:color w:val="000000"/>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color w:val="000000"/>
      </w:rPr>
    </w:rPrDefault>
    <w:pPrDefault/>
  </w:docDefaults>
  <w:style w:type="paragraph" w:styleId="Title">
    <w:name w:val="Title"/>
    <w:basedOn w:val="Normal"/>
    <w:next w:val="Normal"/>
    <w:qFormat/>
    <w:rPr>
      <w:rFonts w:ascii="Times New Roman" w:hAnsi="Times New Roman" w:eastAsia="Times New Roman" w:cs="Times New Roman"/>
      <w:bCs/>
      <w:b/>
      <w:sz w:val="32"/>
      <w:szCs w:val="32"/>
      <w:color w:val="000000"/>
    </w:rPr>
  </w:style>
  <w:style w:type="paragraph" w:styleId="Heading1">
    <w:name w:val="Heading 1"/>
    <w:basedOn w:val="Normal"/>
    <w:next w:val="Normal"/>
    <w:qFormat/>
    <w:rPr>
      <w:rFonts w:ascii="Times New Roman" w:hAnsi="Times New Roman" w:eastAsia="Times New Roman" w:cs="Times New Roman"/>
      <w:bCs/>
      <w:b/>
      <w:color w:val="000000"/>
      <w:sz w:val="28"/>
      <w:szCs w:val="28"/>
    </w:rPr>
  </w:style>
  <w:style w:type="paragraph" w:styleId="Heading2">
    <w:name w:val="Heading 2"/>
    <w:basedOn w:val="Normal"/>
    <w:next w:val="Normal"/>
    <w:qFormat/>
    <w:rPr>
      <w:rFonts w:ascii="Times New Roman" w:hAnsi="Times New Roman" w:eastAsia="Times New Roman" w:cs="Times New Roman"/>
      <w:bCs/>
      <w:b/>
      <w:color w:val="000000"/>
      <w:sz w:val="24"/>
      <w:szCs w:val="24"/>
    </w:rPr>
  </w:style>
  <w:style w:type="paragraph" w:styleId="Heading3">
    <w:name w:val="Heading 3"/>
    <w:basedOn w:val="Normal"/>
    <w:next w:val="Normal"/>
    <w:qFormat/>
    <w:rPr>
      <w:rFonts w:ascii="Times New Roman" w:hAnsi="Times New Roman" w:eastAsia="Times New Roman" w:cs="Times New Roman"/>
      <w:iCs/>
      <w:i/>
      <w:bCs/>
      <w:b/>
      <w:color w:val="000000"/>
      <w:sz w:val="24"/>
      <w:szCs w:val="24"/>
    </w:rPr>
  </w:style>
  <w:style w:type="paragraph" w:styleId="Heading4">
    <w:name w:val="Heading 4"/>
    <w:basedOn w:val="Normal"/>
    <w:next w:val="Normal"/>
    <w:qFormat/>
    <w:rPr>
      <w:rFonts w:ascii="Times New Roman" w:hAnsi="Times New Roman" w:eastAsia="Times New Roman" w:cs="Times New Roman"/>
      <w:iCs/>
      <w:i/>
      <w:bCs/>
      <w:b/>
      <w:color w:val="000000"/>
      <w:sz w:val="24"/>
      <w:szCs w:val="24"/>
    </w:rPr>
  </w:style>
  <w:style w:type="paragraph" w:styleId="Heading5">
    <w:name w:val="Heading 5"/>
    <w:basedOn w:val="Normal"/>
    <w:next w:val="Normal"/>
    <w:qFormat/>
    <w:rPr>
      <w:rFonts w:ascii="Times New Roman" w:hAnsi="Times New Roman" w:eastAsia="Times New Roman" w:cs="Times New Roman"/>
      <w:bCs/>
      <w:b/>
      <w:color w:val="000000"/>
      <w:sz w:val="24"/>
      <w:szCs w:val="24"/>
    </w:rPr>
  </w:style>
  <w:style w:type="paragraph" w:styleId="Heading6">
    <w:name w:val="Heading 6"/>
    <w:basedOn w:val="Normal"/>
    <w:next w:val="Normal"/>
    <w:qFormat/>
    <w:rPr>
      <w:rFonts w:ascii="Times New Roman" w:hAnsi="Times New Roman" w:eastAsia="Times New Roman" w:cs="Times New Roman"/>
      <w:iCs/>
      <w:i/>
      <w:color w:val="000000"/>
      <w:sz w:val="24"/>
      <w:szCs w:val="24"/>
    </w:rPr>
  </w:style>
  <w:style w:type="paragraph" w:styleId="Strong">
    <w:name w:val="Strong"/>
    <w:basedOn w:val="Normal"/>
    <w:next w:val="Normal"/>
    <w:qFormat/>
    <w:rPr>
      <w:rFonts w:ascii="Times New Roman" w:hAnsi="Times New Roman" w:eastAsia="Times New Roman" w:cs="Times New Roman"/>
      <w:b/>
      <w:bCs/>
      <w:color w:val="000000"/>
    </w:rPr>
  </w:style>
  <w:style w:type="paragraph" w:styleId="ListParagraph">
    <w:name w:val="List Paragraph"/>
    <w:basedOn w:val="Normal"/>
    <w:qFormat/>
    <w:rPr>
      <w:rFonts w:ascii="Times New Roman" w:hAnsi="Times New Roman" w:eastAsia="Times New Roman" w:cs="Times New Roman"/>
      <w:color w:val="000000"/>
    </w:rPr>
  </w:style>
  <w:style w:type="character" w:styleId="Hyperlink">
    <w:name w:val="Hyperlink"/>
    <w:basedOn w:val="DefaultParagraphFont"/>
    <w:uiPriority w:val="99"/>
    <w:unhideWhenUsed/>
    <w:rPr>
      <w:rFonts w:ascii="Times New Roman" w:hAnsi="Times New Roman" w:eastAsia="Times New Roman" w:cs="Times New Roman"/>
      <w:color w:val="000000"/>
      <w:u w:val="single"/>
    </w:rPr>
  </w:style>
  <w:style w:type="character" w:styleId="FootnoteReference">
    <w:name w:val="footnote reference"/>
    <w:basedOn w:val="DefaultParagraphFont"/>
    <w:uiPriority w:val="99"/>
    <w:semiHidden/>
    <w:unhideWhenUsed/>
    <w:rPr>
      <w:rFonts w:ascii="Times New Roman" w:hAnsi="Times New Roman" w:eastAsia="Times New Roman" w:cs="Times New Roman"/>
      <w:vertAlign w:val="superscript"/>
      <w:color w:val="000000"/>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eastAsia="Times New Roman" w:cs="Times New Roman"/>
      <w:sz w:val="20"/>
      <w:szCs w:val="20"/>
      <w:color w:val="000000"/>
    </w:rPr>
  </w:style>
  <w:style w:type="character" w:styleId="FootnoteTextChar">
    <w:name w:val="Footnote Text Char"/>
    <w:basedOn w:val="DefaultParagraphFont"/>
    <w:link w:val="FootnoteText"/>
    <w:uiPriority w:val="99"/>
    <w:semiHidden/>
    <w:unhideWhenUsed/>
    <w:rPr>
      <w:rFonts w:ascii="Times New Roman" w:hAnsi="Times New Roman" w:eastAsia="Times New Roman" w:cs="Times New Roman"/>
      <w:sz w:val="20"/>
      <w:szCs w:val="20"/>
      <w:color w:val="000000"/>
    </w:rPr>
  </w:style>
  <w:style w:type="character" w:styleId="EndnoteReference">
    <w:name w:val="endnote reference"/>
    <w:basedOn w:val="DefaultParagraphFont"/>
    <w:uiPriority w:val="99"/>
    <w:semiHidden/>
    <w:unhideWhenUsed/>
    <w:rPr>
      <w:rFonts w:ascii="Times New Roman" w:hAnsi="Times New Roman" w:eastAsia="Times New Roman" w:cs="Times New Roman"/>
      <w:vertAlign w:val="superscript"/>
      <w:color w:val="000000"/>
    </w:rPr>
  </w:style>
  <w:style w:type="paragraph" w:styleId="EndnoteText">
    <w:name w:val="endnote text"/>
    <w:basedOn w:val="Normal"/>
    <w:link w:val="EndnoteTextChar"/>
    <w:uiPriority w:val="99"/>
    <w:semiHidden/>
    <w:unhideWhenUsed/>
    <w:pPr>
      <w:spacing w:after="0" w:line="240" w:lineRule="auto"/>
    </w:pPr>
    <w:rPr>
      <w:rFonts w:ascii="Times New Roman" w:hAnsi="Times New Roman" w:eastAsia="Times New Roman" w:cs="Times New Roman"/>
      <w:sz w:val="20"/>
      <w:szCs w:val="20"/>
      <w:color w:val="000000"/>
    </w:rPr>
  </w:style>
  <w:style w:type="character" w:styleId="EndnoteTextChar">
    <w:name w:val="Endnote Text Char"/>
    <w:basedOn w:val="DefaultParagraphFont"/>
    <w:link w:val="EndnoteText"/>
    <w:uiPriority w:val="99"/>
    <w:semiHidden/>
    <w:unhideWhenUsed/>
    <w:rPr>
      <w:rFonts w:ascii="Times New Roman" w:hAnsi="Times New Roman" w:eastAsia="Times New Roman" w:cs="Times New Roman"/>
      <w:sz w:val="20"/>
      <w:szCs w:val="20"/>
      <w:color w:val="000000"/>
    </w:rPr>
  </w:style>
  <w:style w:type="paragraph" w:default="1" w:styleId="Normal">
    <w:name w:val="Normal"/>
    <w:qFormat/>
    <w:rPr>
      <w:rFonts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2026-10-17T14:49:24.216Z</dcterms:created>
  <dcterms:modified xsi:type="dcterms:W3CDTF">2026-10-17T14:49:24.216Z</dcterms:modified>
</cp:coreProperties>
</file>

<file path=docProps/custom.xml><?xml version="1.0" encoding="utf-8"?>
<Properties xmlns="http://schemas.openxmlformats.org/officeDocument/2006/custom-properties" xmlns:vt="http://schemas.openxmlformats.org/officeDocument/2006/docPropsVTypes"/>
</file>