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hAnsi="Times New Roman" w:eastAsia="Times New Roman" w:cs="Times New Roman"/>
          <w:b/>
          <w:bCs/>
          <w:color w:val="000000"/>
          <w:sz w:val="24"/>
          <w:szCs w:val="24"/>
        </w:rPr>
        <w:t xml:space="preserve">AI4015 — Agentic Artificial Intelligence</w:t>
      </w:r>
    </w:p>
    <w:p>
      <w:pPr>
        <w:spacing w:after="300"/>
        <w:jc w:val="center"/>
      </w:pPr>
      <w:r>
        <w:rPr>
          <w:rFonts w:ascii="Times New Roman" w:hAnsi="Times New Roman" w:eastAsia="Times New Roman" w:cs="Times New Roman"/>
          <w:color w:val="000000"/>
          <w:sz w:val="22"/>
          <w:szCs w:val="22"/>
        </w:rPr>
        <w:t xml:space="preserve">Semester Project — Phase 1</w:t>
      </w:r>
    </w:p>
    <w:p>
      <w:pPr>
        <w:pStyle w:val="Heading1"/>
        <w:spacing w:after="100"/>
        <w:jc w:val="center"/>
      </w:pPr>
      <w:r>
        <w:rPr>
          <w:rFonts w:ascii="Times New Roman" w:hAnsi="Times New Roman" w:eastAsia="Times New Roman" w:cs="Times New Roman"/>
          <w:color w:val="000000"/>
        </w:rPr>
        <w:t xml:space="preserve">Deliverable B — Project Proposal</w:t>
      </w:r>
    </w:p>
    <w:p>
      <w:pPr>
        <w:spacing w:after="500"/>
        <w:jc w:val="center"/>
      </w:pPr>
      <w:r>
        <w:rPr>
          <w:rFonts w:ascii="Times New Roman" w:hAnsi="Times New Roman" w:eastAsia="Times New Roman" w:cs="Times New Roman"/>
          <w:i/>
          <w:iCs/>
          <w:color w:val="000000"/>
        </w:rPr>
        <w:t xml:space="preserve">Project G3-07: Automating SME Healthcare Workflows through Generative and Agentic AI Systems</w:t>
      </w:r>
    </w:p>
    <w:p>
      <w:pPr>
        <w:spacing w:after="80"/>
      </w:pPr>
      <w:r>
        <w:rPr>
          <w:rFonts w:ascii="Times New Roman" w:hAnsi="Times New Roman" w:eastAsia="Times New Roman" w:cs="Times New Roman"/>
          <w:b/>
          <w:bCs/>
          <w:color w:val="000000"/>
        </w:rPr>
        <w:t xml:space="preserve">Project Code: </w:t>
      </w:r>
      <w:r>
        <w:rPr>
          <w:rFonts w:ascii="Times New Roman" w:hAnsi="Times New Roman" w:eastAsia="Times New Roman" w:cs="Times New Roman"/>
          <w:color w:val="000000"/>
        </w:rPr>
        <w:t xml:space="preserve">G3-07</w:t>
      </w:r>
    </w:p>
    <w:p>
      <w:pPr>
        <w:spacing w:after="80"/>
      </w:pPr>
      <w:r>
        <w:rPr>
          <w:rFonts w:ascii="Times New Roman" w:hAnsi="Times New Roman" w:eastAsia="Times New Roman" w:cs="Times New Roman"/>
          <w:b/>
          <w:bCs/>
          <w:color w:val="000000"/>
        </w:rPr>
        <w:t xml:space="preserve">Project Title: </w:t>
      </w:r>
      <w:r>
        <w:rPr>
          <w:rFonts w:ascii="Times New Roman" w:hAnsi="Times New Roman" w:eastAsia="Times New Roman" w:cs="Times New Roman"/>
          <w:color w:val="000000"/>
        </w:rPr>
        <w:t>MedGuardian: A Tool-Grounded Agentic Co-Pilot for Dosage Safety, Peri-Operative Process Auditing, and Voice-Driven Sonography Reporting</w:t>
      </w:r>
    </w:p>
    <w:p>
      <w:pPr>
        <w:spacing w:after="80"/>
      </w:pPr>
      <w:r>
        <w:rPr>
          <w:rFonts w:ascii="Times New Roman" w:hAnsi="Times New Roman" w:eastAsia="Times New Roman" w:cs="Times New Roman"/>
          <w:b/>
          <w:bCs/>
          <w:color w:val="000000"/>
        </w:rPr>
        <w:t xml:space="preserve">Group Head: </w:t>
      </w:r>
      <w:r>
        <w:rPr>
          <w:rFonts w:ascii="Times New Roman" w:hAnsi="Times New Roman" w:eastAsia="Times New Roman" w:cs="Times New Roman"/>
          <w:color w:val="000000"/>
        </w:rPr>
        <w:t>Syed Muhammad Mustafa — 23i-0661</w:t>
      </w:r>
    </w:p>
    <w:p>
      <w:pPr>
        <w:spacing w:after="80"/>
      </w:pPr>
      <w:r>
        <w:rPr>
          <w:rFonts w:ascii="Times New Roman" w:hAnsi="Times New Roman" w:eastAsia="Times New Roman" w:cs="Times New Roman"/>
          <w:b/>
          <w:bCs/>
          <w:color w:val="000000"/>
        </w:rPr>
        <w:t xml:space="preserve">Group Member: </w:t>
      </w:r>
      <w:r>
        <w:rPr>
          <w:rFonts w:ascii="Times New Roman" w:hAnsi="Times New Roman" w:eastAsia="Times New Roman" w:cs="Times New Roman"/>
          <w:color w:val="000000"/>
        </w:rPr>
        <w:t>Muhammad bin Taimur — 23i-0810</w:t>
      </w:r>
    </w:p>
    <w:p>
      <w:pPr>
        <w:spacing w:after="400"/>
      </w:pPr>
      <w:r>
        <w:rPr>
          <w:rFonts w:ascii="Times New Roman" w:hAnsi="Times New Roman" w:eastAsia="Times New Roman" w:cs="Times New Roman"/>
          <w:b/>
          <w:bCs/>
          <w:color w:val="000000"/>
        </w:rPr>
        <w:t xml:space="preserve">Supervisor: </w:t>
      </w:r>
      <w:r>
        <w:rPr>
          <w:rFonts w:ascii="Times New Roman" w:hAnsi="Times New Roman" w:eastAsia="Times New Roman" w:cs="Times New Roman"/>
          <w:color w:val="000000"/>
        </w:rPr>
        <w:t xml:space="preserve">Naeem Tareen (G3 projects)</w:t>
      </w:r>
    </w:p>
    <w:p>
      <w:pPr>
        <w:pStyle w:val="Heading2"/>
        <w:spacing w:after="140" w:before="360"/>
      </w:pPr>
      <w:r>
        <w:rPr>
          <w:rFonts w:ascii="Times New Roman" w:hAnsi="Times New Roman" w:eastAsia="Times New Roman" w:cs="Times New Roman"/>
          <w:color w:val="000000"/>
        </w:rPr>
        <w:t xml:space="preserve">5.  Project Proposal</w:t>
      </w:r>
    </w:p>
    <w:p>
      <w:pPr>
        <w:spacing w:after="160"/>
      </w:pPr>
      <w:r>
        <w:rPr>
          <w:rFonts w:ascii="Times New Roman" w:hAnsi="Times New Roman" w:eastAsia="Times New Roman" w:cs="Times New Roman"/>
          <w:color w:val="000000"/>
        </w:rPr>
        <w:t xml:space="preserve">This proposal defines the complete MedGuardian project before major implementation begins, building directly on the base paper and three research gaps established in Deliverable A.</w:t>
      </w:r>
    </w:p>
    <w:p>
      <w:pPr>
        <w:pStyle w:val="Heading3"/>
        <w:spacing w:after="100" w:before="260"/>
      </w:pPr>
      <w:r>
        <w:rPr>
          <w:rFonts w:ascii="Times New Roman" w:hAnsi="Times New Roman" w:eastAsia="Times New Roman" w:cs="Times New Roman"/>
          <w:color w:val="000000"/>
        </w:rPr>
        <w:t xml:space="preserve">5.1  Project Title and Selected Seed</w:t>
      </w:r>
    </w:p>
    <w:p>
      <w:pPr>
        <w:spacing w:after="140"/>
      </w:pPr>
      <w:r>
        <w:rPr>
          <w:rFonts w:ascii="Times New Roman" w:hAnsi="Times New Roman" w:eastAsia="Times New Roman" w:cs="Times New Roman"/>
          <w:b/>
          <w:bCs/>
          <w:color w:val="000000"/>
        </w:rPr>
        <w:t xml:space="preserve">Selected seed: </w:t>
      </w:r>
      <w:r>
        <w:rPr>
          <w:rFonts w:ascii="Times New Roman" w:hAnsi="Times New Roman" w:eastAsia="Times New Roman" w:cs="Times New Roman"/>
          <w:color w:val="000000"/>
        </w:rPr>
        <w:t xml:space="preserve">G3-07 — “Automating SME Healthcare Workflows through Generative and Agentic AI Systems,” from the Agentic AI Semester Project Selection catalog. The seed describes two linked subproblems at a 50-bed SME hospital: (a) automating sonography reporting from machine screenshots and radiologist voice annotation, and (b) deploying an agentic reasoning layer for drug-dosage decisions and peri-operative process auditing.</w:t>
      </w:r>
    </w:p>
    <w:p>
      <w:pPr>
        <w:spacing w:after="140"/>
      </w:pPr>
      <w:r>
        <w:rPr>
          <w:rFonts w:ascii="Times New Roman" w:hAnsi="Times New Roman" w:eastAsia="Times New Roman" w:cs="Times New Roman"/>
          <w:b/>
          <w:bCs/>
          <w:color w:val="000000"/>
        </w:rPr>
        <w:t xml:space="preserve">Proposed title: </w:t>
      </w:r>
      <w:r>
        <w:rPr>
          <w:rFonts w:ascii="Times New Roman" w:hAnsi="Times New Roman" w:eastAsia="Times New Roman" w:cs="Times New Roman"/>
          <w:color w:val="000000"/>
        </w:rPr>
        <w:t xml:space="preserve">MedGuardian: A Tool-Grounded Agentic Co-Pilot for Dosage Safety, Peri-Operative Process Auditing, and Voice-Driven Sonography Reporting</w:t>
      </w:r>
    </w:p>
    <w:p>
      <w:pPr>
        <w:spacing w:after="140"/>
      </w:pPr>
      <w:r>
        <w:rPr>
          <w:rFonts w:ascii="Times New Roman" w:hAnsi="Times New Roman" w:eastAsia="Times New Roman" w:cs="Times New Roman"/>
          <w:b/>
          <w:bCs/>
          <w:color w:val="000000"/>
        </w:rPr>
        <w:t xml:space="preserve">Scope refinement applied: </w:t>
      </w:r>
      <w:r>
        <w:rPr>
          <w:rFonts w:ascii="Times New Roman" w:hAnsi="Times New Roman" w:eastAsia="Times New Roman" w:cs="Times New Roman"/>
          <w:color w:val="000000"/>
        </w:rPr>
        <w:t xml:space="preserve">Per the course catalog's required scope refinement (“split into one clinical task; secure data/ethics access early; require clinician-defined safety metrics and a non-clinical fallback dataset”), the project is split into two time-boxed, independently testable modules sharing one architecture and one human-in-the-loop gate: a primary Clinical Reasoning &amp; Process Guardian module (Gaps 1–2) and a secondary Sonography Reporting module (Gap 3). Both modules run first on synthetic/public data as the non-clinical fallback, with real hospital data substituted only once ethics approval and a data-sharing agreement with the partner hospital are secured.</w:t>
      </w:r>
    </w:p>
    <w:p>
      <w:pPr>
        <w:pStyle w:val="Heading3"/>
        <w:spacing w:after="100" w:before="260"/>
      </w:pPr>
      <w:r>
        <w:rPr>
          <w:rFonts w:ascii="Times New Roman" w:hAnsi="Times New Roman" w:eastAsia="Times New Roman" w:cs="Times New Roman"/>
          <w:color w:val="000000"/>
        </w:rPr>
        <w:t xml:space="preserve">5.2  Problem Statement and Motivation</w:t>
      </w:r>
    </w:p>
    <w:p>
      <w:pPr>
        <w:spacing w:after="160"/>
      </w:pPr>
      <w:r>
        <w:rPr>
          <w:rFonts w:ascii="Times New Roman" w:hAnsi="Times New Roman" w:eastAsia="Times New Roman" w:cs="Times New Roman"/>
          <w:color w:val="000000"/>
        </w:rPr>
        <w:t xml:space="preserve">SME hospitals such as the 50-bed partner facility run two safety- and time-critical workflows almost entirely manually. First, sonography reports are produced by medical assistants who manually dictate and type findings from machine screenshots and the radiologist's spoken notes, a slow process prone to transcription error and backlog. Second, drug-dosage decisions and peri-operative safety checks — renal-adjusted dosing, anticoagulation hold/restart timing, and pre-operative hemoglobin/potassium thresholds — are performed manually by clinicians without systematic, real-time cross-referencing against the patient's EHR data, national drug-label databases (e.g., the FDA Orange Book), or institutional guidelines.</w:t>
      </w:r>
    </w:p>
    <w:p>
      <w:pPr>
        <w:spacing w:after="160"/>
      </w:pPr>
      <w:r>
        <w:rPr>
          <w:rFonts w:ascii="Times New Roman" w:hAnsi="Times New Roman" w:eastAsia="Times New Roman" w:cs="Times New Roman"/>
          <w:color w:val="000000"/>
        </w:rPr>
        <w:t xml:space="preserve">Target users are physicians and surgeons (dosage and pre-operative decisions), radiologists and sonographers (reporting), and medical assistants (documentation support) at SME facilities that cannot afford enterprise clinical-AI platforms. Current limitations are well evidenced in the 2025–2026 literature: LLMs make frequent arithmetic errors on clinical calculations unless grounded in deterministic tools (Goodell et al. [3]), medication-safety co-pilots still miss a large share of errors (61% accuracy even in the best configuration, Ong et al. [5]), and guideline-RAG systems are consistently weakest at verifying timing-based decisions such as anticoagulant restart windows (Zaki et al. [7]). This matters because prescribing and peri-operative process errors are a leading preventable source of patient harm, and because clinician time spent on manual dictation and cross-checking is time not spent on direct patient care — a cost that is proportionally larger for SME hospitals with thinner staffing margins.</w:t>
      </w:r>
    </w:p>
    <w:p>
      <w:pPr>
        <w:pStyle w:val="Heading3"/>
        <w:spacing w:after="100" w:before="260"/>
      </w:pPr>
      <w:r>
        <w:rPr>
          <w:rFonts w:ascii="Times New Roman" w:hAnsi="Times New Roman" w:eastAsia="Times New Roman" w:cs="Times New Roman"/>
          <w:color w:val="000000"/>
        </w:rPr>
        <w:t xml:space="preserve">5.3  Base Paper and Research Gaps</w:t>
      </w:r>
    </w:p>
    <w:p>
      <w:pPr>
        <w:spacing w:after="160"/>
      </w:pPr>
      <w:r>
        <w:rPr>
          <w:rFonts w:ascii="Times New Roman" w:hAnsi="Times New Roman" w:eastAsia="Times New Roman" w:cs="Times New Roman"/>
          <w:color w:val="000000"/>
        </w:rPr>
        <w:t xml:space="preserve">The base paper is MedAgentBench (Jiang et al., NEJM AI, 2025) [1], an open, FHIR-compliant virtual EHR benchmark of 300 physician-written tasks over 100 synthetic patients. Its best-performing model (Claude 3.5 Sonnet v2) reaches only 69.67% overall task success, splitting sharply between query tasks (85.33%) and action tasks such as placing orders (54.00%). This gap between reliable retrieval and unreliable action is the starting point for our three selected research gaps from Deliverable A:</w:t>
      </w:r>
    </w:p>
    <w:p>
      <w:pPr>
        <w:pStyle w:val="ListParagraph"/>
        <w:numPr>
          <w:ilvl w:val="0"/>
          <w:numId w:val="2"/>
        </w:numPr>
        <w:spacing w:after="70"/>
      </w:pPr>
      <w:r>
        <w:rPr>
          <w:rFonts w:ascii="Times New Roman" w:hAnsi="Times New Roman" w:eastAsia="Times New Roman" w:cs="Times New Roman"/>
          <w:color w:val="000000"/>
        </w:rPr>
        <w:t xml:space="preserve">Gap 1 — Action reliability: agents read EHR data well but act (write dosing orders) poorly; we add a deterministic tool layer to close this gap.</w:t>
      </w:r>
    </w:p>
    <w:p>
      <w:pPr>
        <w:pStyle w:val="ListParagraph"/>
        <w:numPr>
          <w:ilvl w:val="0"/>
          <w:numId w:val="2"/>
        </w:numPr>
        <w:spacing w:after="70"/>
      </w:pPr>
      <w:r>
        <w:rPr>
          <w:rFonts w:ascii="Times New Roman" w:hAnsi="Times New Roman" w:eastAsia="Times New Roman" w:cs="Times New Roman"/>
          <w:color w:val="000000"/>
        </w:rPr>
        <w:t xml:space="preserve">Gap 2 — Temporal process guardian: no published agent audits whether a time-sensitive clinical process (anticoagulation hold/restart, pre-operative lab thresholds) was followed correctly across a patient timeline, not just at a single static point.</w:t>
      </w:r>
    </w:p>
    <w:p>
      <w:pPr>
        <w:pStyle w:val="ListParagraph"/>
        <w:numPr>
          <w:ilvl w:val="0"/>
          <w:numId w:val="2"/>
        </w:numPr>
        <w:spacing w:after="70"/>
      </w:pPr>
      <w:r>
        <w:rPr>
          <w:rFonts w:ascii="Times New Roman" w:hAnsi="Times New Roman" w:eastAsia="Times New Roman" w:cs="Times New Roman"/>
          <w:color w:val="000000"/>
        </w:rPr>
        <w:t xml:space="preserve">Gap 3 — Multimodal sonography fusion: no existing system fuses ultrasound screenshot measurements with the radiologist's spoken annotation into one automated report; current systems use audio-only (Gertz et al. [8]) or text-cue-only (Hao et al. [9]) input.</w:t>
      </w:r>
    </w:p>
    <w:p>
      <w:pPr>
        <w:spacing w:after="160"/>
      </w:pPr>
      <w:r>
        <w:rPr>
          <w:rFonts w:ascii="Times New Roman" w:hAnsi="Times New Roman" w:eastAsia="Times New Roman" w:cs="Times New Roman"/>
          <w:color w:val="000000"/>
        </w:rPr>
        <w:t xml:space="preserve">MedGuardian builds directly on MedAgentBench's environment and task format for Gaps 1 and 2, extending its agent with the tool layer, state design, and guardian verification step described in Section 5.8, and goes beyond it by introducing severity-weighted, timeline-aware safety auditing that MedAgentBench's binary task-success scoring does not attempt.</w:t>
      </w:r>
    </w:p>
    <w:p>
      <w:pPr>
        <w:pStyle w:val="Heading3"/>
        <w:spacing w:after="100" w:before="260"/>
      </w:pPr>
      <w:r>
        <w:rPr>
          <w:rFonts w:ascii="Times New Roman" w:hAnsi="Times New Roman" w:eastAsia="Times New Roman" w:cs="Times New Roman"/>
          <w:color w:val="000000"/>
        </w:rPr>
        <w:t xml:space="preserve">5.4  Target Product or System</w:t>
      </w:r>
    </w:p>
    <w:p>
      <w:pPr>
        <w:spacing w:after="160"/>
      </w:pPr>
      <w:r>
        <w:rPr>
          <w:rFonts w:ascii="Times New Roman" w:hAnsi="Times New Roman" w:eastAsia="Times New Roman" w:cs="Times New Roman"/>
          <w:color w:val="000000"/>
        </w:rPr>
        <w:t xml:space="preserve">By the end of the semester, MedGuardian will be a working, demonstrable system with two integrated agent subsystems behind one physician-approval interface:</w:t>
      </w:r>
    </w:p>
    <w:p>
      <w:pPr>
        <w:pStyle w:val="ListParagraph"/>
        <w:numPr>
          <w:ilvl w:val="0"/>
          <w:numId w:val="2"/>
        </w:numPr>
        <w:spacing w:after="70"/>
      </w:pPr>
      <w:r>
        <w:rPr>
          <w:rFonts w:ascii="Times New Roman" w:hAnsi="Times New Roman" w:eastAsia="Times New Roman" w:cs="Times New Roman"/>
          <w:color w:val="000000"/>
        </w:rPr>
        <w:t xml:space="preserve">Clinical Reasoning &amp; Process Guardian Agent (Gaps 1–2): given a patient's FHIR-style record, the agent autonomously retrieves relevant EHR fields, computes renal-adjusted dosing recommendations with verified calculators, checks drug-label and guideline constraints, audits the medication/lab timeline for anticoagulation and pre-operative safety violations, and routes any discrepancy — with supporting evidence — to a physician for approval.</w:t>
      </w:r>
    </w:p>
    <w:p>
      <w:pPr>
        <w:pStyle w:val="ListParagraph"/>
        <w:numPr>
          <w:ilvl w:val="0"/>
          <w:numId w:val="2"/>
        </w:numPr>
        <w:spacing w:after="70"/>
      </w:pPr>
      <w:r>
        <w:rPr>
          <w:rFonts w:ascii="Times New Roman" w:hAnsi="Times New Roman" w:eastAsia="Times New Roman" w:cs="Times New Roman"/>
          <w:color w:val="000000"/>
        </w:rPr>
        <w:t xml:space="preserve">Sonography Reporting Assistant (Gap 3): given an ultrasound screenshot and the radiologist's spoken annotation, the agent extracts measurements (vision + speech-to-text), fuses them, and generates a structured draft report for radiologist review and edit.</w:t>
      </w:r>
    </w:p>
    <w:p>
      <w:pPr>
        <w:spacing w:after="160"/>
      </w:pPr>
      <w:r>
        <w:rPr>
          <w:rFonts w:ascii="Times New Roman" w:hAnsi="Times New Roman" w:eastAsia="Times New Roman" w:cs="Times New Roman"/>
          <w:color w:val="000000"/>
        </w:rPr>
        <w:t xml:space="preserve">The semester deliverable is a reproducible codebase and demo (CLI or lightweight web UI) in which a user loads a synthetic patient, runs either module end-to-end, inspects the full agent trace (tool calls, retrieved evidence, flagged discrepancies), and approves or edits the output — together with the evaluation harness, results, and the conference-style paper.</w:t>
      </w:r>
    </w:p>
    <w:p>
      <w:pPr>
        <w:pStyle w:val="Heading3"/>
        <w:spacing w:after="100" w:before="260"/>
      </w:pPr>
      <w:r>
        <w:rPr>
          <w:rFonts w:ascii="Times New Roman" w:hAnsi="Times New Roman" w:eastAsia="Times New Roman" w:cs="Times New Roman"/>
          <w:color w:val="000000"/>
        </w:rPr>
        <w:t xml:space="preserve">5.5  Agentic Justification</w:t>
      </w:r>
    </w:p>
    <w:p>
      <w:pPr>
        <w:spacing w:after="160"/>
      </w:pPr>
      <w:r>
        <w:rPr>
          <w:rFonts w:ascii="Times New Roman" w:hAnsi="Times New Roman" w:eastAsia="Times New Roman" w:cs="Times New Roman"/>
          <w:color w:val="000000"/>
        </w:rPr>
        <w:t xml:space="preserve">This problem cannot be solved by a single LLM call, a fixed deterministic script, or a simple RAG pipeline, for three reasons. First, the required reasoning is multi-step and conditional: which tools to call (EHR query, dosing calculator, guideline retrieval, timeline check) depends on what the previous tool call returns, which a single prompt or static pipeline cannot express. Second, the system must maintain and reason over state across several independently retrieved pieces of patient information (demographics, labs, medication history, procedure timeline) rather than over one static context window. Third, safety requires bounded autonomy: the agent must decide when evidence is insufficient or conflicting and escalate to a human rather than following a fixed script, and it must produce an auditable trace of every tool call and piece of evidence behind a flagged recommendation — a verification-and-escalation loop that is intrinsically agentic rather than a single generation step. The literature supports this: tool-augmented agents outperform both base LLMs and simple RAG on clinical calculation (11.4% → 84.0%, Goodell et al. [3]) and oncology decision tasks (30.3% → 87.2%, Ferber et al. [2]), precisely because of dynamic, multi-tool orchestration rather than any single mechanism alone.</w:t>
      </w:r>
    </w:p>
    <w:p>
      <w:pPr>
        <w:pStyle w:val="Heading3"/>
        <w:spacing w:after="100" w:before="260"/>
      </w:pPr>
      <w:r>
        <w:rPr>
          <w:rFonts w:ascii="Times New Roman" w:hAnsi="Times New Roman" w:eastAsia="Times New Roman" w:cs="Times New Roman"/>
          <w:color w:val="000000"/>
        </w:rPr>
        <w:t xml:space="preserve">5.6  Goals and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Gap</w:t>
            </w:r>
          </w:p>
        </w:tc>
        <w:tc>
          <w:tcPr>
            <w:tcW w:type="dxa" w:w="4000"/>
            <w:tcMar>
              <w:top w:type="dxa" w:w="80"/>
              <w:left w:type="dxa" w:w="100"/>
              <w:bottom w:type="dxa" w:w="80"/>
              <w:right w:type="dxa" w:w="100"/>
            </w:tcMar>
            <w:vAlign w:val="center"/>
          </w:tcPr>
          <w:p>
            <w:r>
              <w:rPr>
                <w:rFonts w:ascii="Times New Roman" w:hAnsi="Times New Roman" w:eastAsia="Times New Roman" w:cs="Times New Roman"/>
                <w:b/>
                <w:bCs/>
                <w:color w:val="000000"/>
                <w:sz w:val="20"/>
                <w:szCs w:val="20"/>
              </w:rPr>
              <w:t xml:space="preserve">Development objective</w:t>
            </w:r>
          </w:p>
        </w:tc>
        <w:tc>
          <w:tcPr>
            <w:tcW w:type="dxa" w:w="3960"/>
            <w:tcMar>
              <w:top w:type="dxa" w:w="80"/>
              <w:left w:type="dxa" w:w="100"/>
              <w:bottom w:type="dxa" w:w="80"/>
              <w:right w:type="dxa" w:w="100"/>
            </w:tcMar>
            <w:vAlign w:val="center"/>
          </w:tcPr>
          <w:p>
            <w:r>
              <w:rPr>
                <w:rFonts w:ascii="Times New Roman" w:hAnsi="Times New Roman" w:eastAsia="Times New Roman" w:cs="Times New Roman"/>
                <w:b/>
                <w:bCs/>
                <w:color w:val="000000"/>
                <w:sz w:val="20"/>
                <w:szCs w:val="20"/>
              </w:rPr>
              <w:t xml:space="preserve">Research / measurable success criterion</w:t>
            </w:r>
          </w:p>
        </w:tc>
      </w:tr>
      <w:tr>
        <w:tc>
          <w:tcPr>
            <w:tcW w:type="dxa" w:w="14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Gap 1</w:t>
            </w:r>
          </w:p>
        </w:tc>
        <w:tc>
          <w:tcPr>
            <w:tcW w:type="dxa" w:w="40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Add a deterministic tool layer (renal-function dosing calculator + drug-label/FDA Orange Book lookup) to the MedAgentBench agent.</w:t>
            </w:r>
          </w:p>
        </w:tc>
        <w:tc>
          <w:tcPr>
            <w:tcW w:type="dxa" w:w="396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Action-task success rate on medication-ordering tasks improves by ≥ 15 percentage points over the un-augmented agent.</w:t>
            </w:r>
          </w:p>
        </w:tc>
      </w:tr>
      <w:tr>
        <w:tc>
          <w:tcPr>
            <w:tcW w:type="dxa" w:w="14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Gap 2</w:t>
            </w:r>
          </w:p>
        </w:tc>
        <w:tc>
          <w:tcPr>
            <w:tcW w:type="dxa" w:w="40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Build a timeline-aware verification/guardian agent that audits anticoagulation hold/restart timing and pre-operative Hb/K⁺ thresholds against guideline-derived reference ranges.</w:t>
            </w:r>
          </w:p>
        </w:tc>
        <w:tc>
          <w:tcPr>
            <w:tcW w:type="dxa" w:w="396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Discrepancy-detection F1 ≥ 0.80 on a synthetic test set with injected timing/value errors, reviewed and approved by project supervisors as clinically sensible.</w:t>
            </w:r>
          </w:p>
        </w:tc>
      </w:tr>
      <w:tr>
        <w:tc>
          <w:tcPr>
            <w:tcW w:type="dxa" w:w="14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Gap 3</w:t>
            </w:r>
          </w:p>
        </w:tc>
        <w:tc>
          <w:tcPr>
            <w:tcW w:type="dxa" w:w="40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Build a fused image + voice pipeline that converts an ultrasound screenshot and spoken annotation into a structured draft report.</w:t>
            </w:r>
          </w:p>
        </w:tc>
        <w:tc>
          <w:tcPr>
            <w:tcW w:type="dxa" w:w="396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Field-level report F1 of the fused pipeline exceeds both the audio-only and image-only ablations by a measurable margin.</w:t>
            </w:r>
          </w:p>
        </w:tc>
      </w:tr>
    </w:tbl>
    <w:p>
      <w:pPr>
        <w:spacing w:after="40"/>
      </w:pPr>
      <w:r>
        <w:rPr>
          <w:rFonts w:ascii="Times New Roman" w:hAnsi="Times New Roman" w:eastAsia="Times New Roman" w:cs="Times New Roman"/>
          <w:color w:val="000000"/>
        </w:rPr>
        <w:t xml:space="preserve"/>
      </w:r>
    </w:p>
    <w:p>
      <w:pPr>
        <w:pStyle w:val="Heading3"/>
        <w:spacing w:after="100" w:before="260"/>
      </w:pPr>
      <w:r>
        <w:rPr>
          <w:rFonts w:ascii="Times New Roman" w:hAnsi="Times New Roman" w:eastAsia="Times New Roman" w:cs="Times New Roman"/>
          <w:color w:val="000000"/>
        </w:rPr>
        <w:t xml:space="preserve">5.7  Data / Environment / Source</w:t>
      </w:r>
    </w:p>
    <w:p>
      <w:pPr>
        <w:pStyle w:val="ListParagraph"/>
        <w:numPr>
          <w:ilvl w:val="0"/>
          <w:numId w:val="2"/>
        </w:numPr>
        <w:spacing w:after="70"/>
      </w:pPr>
      <w:r>
        <w:rPr>
          <w:rFonts w:ascii="Times New Roman" w:hAnsi="Times New Roman" w:eastAsia="Times New Roman" w:cs="Times New Roman"/>
          <w:color w:val="000000"/>
        </w:rPr>
        <w:t xml:space="preserve">Primary environment: the public MedAgentBench FHIR server and its 100 synthetic patient profiles (100,000+ data elements), extended with additional synthetic patients that we generate to cover renal-dosing and anticoagulation-timeline scenarios, with known-answer discrepancies injected for Gap 2 evaluation. This is the project's confirmed, non-clinical fallback dataset.</w:t>
      </w:r>
    </w:p>
    <w:p>
      <w:pPr>
        <w:pStyle w:val="ListParagraph"/>
        <w:numPr>
          <w:ilvl w:val="0"/>
          <w:numId w:val="2"/>
        </w:numPr>
        <w:spacing w:after="70"/>
      </w:pPr>
      <w:r>
        <w:rPr>
          <w:rFonts w:ascii="Times New Roman" w:hAnsi="Times New Roman" w:eastAsia="Times New Roman" w:cs="Times New Roman"/>
          <w:color w:val="000000"/>
        </w:rPr>
        <w:t xml:space="preserve">Drug-label grounding: publicly available DailyMed / FDA drug-label text and structured fields (used in place of direct Orange Book scraping for reliability).</w:t>
      </w:r>
    </w:p>
    <w:p>
      <w:pPr>
        <w:pStyle w:val="ListParagraph"/>
        <w:numPr>
          <w:ilvl w:val="0"/>
          <w:numId w:val="2"/>
        </w:numPr>
        <w:spacing w:after="70"/>
      </w:pPr>
      <w:r>
        <w:rPr>
          <w:rFonts w:ascii="Times New Roman" w:hAnsi="Times New Roman" w:eastAsia="Times New Roman" w:cs="Times New Roman"/>
          <w:color w:val="000000"/>
        </w:rPr>
        <w:t xml:space="preserve">Guideline grounding: publicly available peri-operative and anticoagulation guideline documents (e.g., Society of Interventional Radiology guidance, the guideline sets referenced in Ke et al. [6] and Zaki et al. [7]), indexed in a RAG store.</w:t>
      </w:r>
    </w:p>
    <w:p>
      <w:pPr>
        <w:pStyle w:val="ListParagraph"/>
        <w:numPr>
          <w:ilvl w:val="0"/>
          <w:numId w:val="2"/>
        </w:numPr>
        <w:spacing w:after="70"/>
      </w:pPr>
      <w:r>
        <w:rPr>
          <w:rFonts w:ascii="Times New Roman" w:hAnsi="Times New Roman" w:eastAsia="Times New Roman" w:cs="Times New Roman"/>
          <w:color w:val="000000"/>
        </w:rPr>
        <w:t xml:space="preserve">Sonography module: public ultrasound image/report datasets where available, combined with synthetically generated spoken-annotation audio (text-to-speech over clinician-style dictation scripts) standing in for real radiologist recordings until ethics approval for real hospital audio/screenshots is secured.</w:t>
      </w:r>
    </w:p>
    <w:p>
      <w:pPr>
        <w:pStyle w:val="ListParagraph"/>
        <w:numPr>
          <w:ilvl w:val="0"/>
          <w:numId w:val="2"/>
        </w:numPr>
        <w:spacing w:after="70"/>
      </w:pPr>
      <w:r>
        <w:rPr>
          <w:rFonts w:ascii="Times New Roman" w:hAnsi="Times New Roman" w:eastAsia="Times New Roman" w:cs="Times New Roman"/>
          <w:color w:val="000000"/>
        </w:rPr>
        <w:t xml:space="preserve">Real data (stretch goal, pending approval): de-identified sonography screenshots/dictations and anonymized case summaries from the 50-bed partner hospital, to be used only as a validation set once a data-sharing agreement and IRB/ethics clearance are in place; the system's primary evaluation does not depend on this access arriving in time.</w:t>
      </w:r>
    </w:p>
    <w:p>
      <w:pPr>
        <w:pStyle w:val="Heading3"/>
        <w:spacing w:after="100" w:before="260"/>
      </w:pPr>
      <w:r>
        <w:rPr>
          <w:rFonts w:ascii="Times New Roman" w:hAnsi="Times New Roman" w:eastAsia="Times New Roman" w:cs="Times New Roman"/>
          <w:color w:val="000000"/>
        </w:rPr>
        <w:t xml:space="preserve">5.8  System Architecture</w:t>
      </w:r>
    </w:p>
    <w:p>
      <w:pPr>
        <w:pStyle w:val="ListParagraph"/>
        <w:numPr>
          <w:ilvl w:val="0"/>
          <w:numId w:val="2"/>
        </w:numPr>
        <w:spacing w:after="70"/>
      </w:pPr>
      <w:r>
        <w:rPr>
          <w:rFonts w:ascii="Times New Roman" w:hAnsi="Times New Roman" w:eastAsia="Times New Roman" w:cs="Times New Roman"/>
          <w:color w:val="000000"/>
        </w:rPr>
        <w:t xml:space="preserve">Models: a general-purpose reasoning LLM (e.g., Claude or GPT-4o class model) as the Orchestrator Agent; a smaller/open-weight model evaluated in parallel as a cost-constrained alternative, consistent with an SME deployment budget.</w:t>
      </w:r>
    </w:p>
    <w:p>
      <w:pPr>
        <w:pStyle w:val="ListParagraph"/>
        <w:numPr>
          <w:ilvl w:val="0"/>
          <w:numId w:val="2"/>
        </w:numPr>
        <w:spacing w:after="70"/>
      </w:pPr>
      <w:r>
        <w:rPr>
          <w:rFonts w:ascii="Times New Roman" w:hAnsi="Times New Roman" w:eastAsia="Times New Roman" w:cs="Times New Roman"/>
          <w:color w:val="000000"/>
        </w:rPr>
        <w:t xml:space="preserve">Tools: FHIR/EHR query tool; deterministic dosing-calculator tool (Cockcroft-Gault/eGFR and weight-based dosing); guideline-and-drug-label RAG retriever; timeline verifier (medication/lab-timeline rule checker); for the sonography module, an OCR/vision-extraction tool and a speech-to-text (ASR) tool.</w:t>
      </w:r>
    </w:p>
    <w:p>
      <w:pPr>
        <w:pStyle w:val="ListParagraph"/>
        <w:numPr>
          <w:ilvl w:val="0"/>
          <w:numId w:val="2"/>
        </w:numPr>
        <w:spacing w:after="70"/>
      </w:pPr>
      <w:r>
        <w:rPr>
          <w:rFonts w:ascii="Times New Roman" w:hAnsi="Times New Roman" w:eastAsia="Times New Roman" w:cs="Times New Roman"/>
          <w:color w:val="000000"/>
        </w:rPr>
        <w:t xml:space="preserve">State / context: a structured JSON “patient context” object accumulated across the session — retrieved EHR fields, each tool's output, a running verification-status record, and the full tool-call history for auditability.</w:t>
      </w:r>
    </w:p>
    <w:p>
      <w:pPr>
        <w:pStyle w:val="ListParagraph"/>
        <w:numPr>
          <w:ilvl w:val="0"/>
          <w:numId w:val="2"/>
        </w:numPr>
        <w:spacing w:after="70"/>
      </w:pPr>
      <w:r>
        <w:rPr>
          <w:rFonts w:ascii="Times New Roman" w:hAnsi="Times New Roman" w:eastAsia="Times New Roman" w:cs="Times New Roman"/>
          <w:color w:val="000000"/>
        </w:rPr>
        <w:t xml:space="preserve">Knowledge / retrieval: a vector index over guideline documents and drug-label text, queried by the RAG tool.</w:t>
      </w:r>
    </w:p>
    <w:p>
      <w:pPr>
        <w:pStyle w:val="ListParagraph"/>
        <w:numPr>
          <w:ilvl w:val="0"/>
          <w:numId w:val="2"/>
        </w:numPr>
        <w:spacing w:after="70"/>
      </w:pPr>
      <w:r>
        <w:rPr>
          <w:rFonts w:ascii="Times New Roman" w:hAnsi="Times New Roman" w:eastAsia="Times New Roman" w:cs="Times New Roman"/>
          <w:color w:val="000000"/>
        </w:rPr>
        <w:t xml:space="preserve">Memory: task-scoped working memory only (no long-term cross-session patient memory), consistent with data-minimization and privacy constraints appropriate for health data.</w:t>
      </w:r>
    </w:p>
    <w:p>
      <w:pPr>
        <w:pStyle w:val="ListParagraph"/>
        <w:numPr>
          <w:ilvl w:val="0"/>
          <w:numId w:val="2"/>
        </w:numPr>
        <w:spacing w:after="70"/>
      </w:pPr>
      <w:r>
        <w:rPr>
          <w:rFonts w:ascii="Times New Roman" w:hAnsi="Times New Roman" w:eastAsia="Times New Roman" w:cs="Times New Roman"/>
          <w:color w:val="000000"/>
        </w:rPr>
        <w:t xml:space="preserve">Orchestration: a single Orchestrator Agent coordinating tool calls for Gaps 1–2, handing off to a dedicated Verification/Guardian step before any output reaches the human; the sonography module runs as a parallel, independently testable pipeline feeding the same approval interface.</w:t>
      </w:r>
    </w:p>
    <w:p>
      <w:pPr>
        <w:pStyle w:val="ListParagraph"/>
        <w:numPr>
          <w:ilvl w:val="0"/>
          <w:numId w:val="2"/>
        </w:numPr>
        <w:spacing w:after="70"/>
      </w:pPr>
      <w:r>
        <w:rPr>
          <w:rFonts w:ascii="Times New Roman" w:hAnsi="Times New Roman" w:eastAsia="Times New Roman" w:cs="Times New Roman"/>
          <w:color w:val="000000"/>
        </w:rPr>
        <w:t xml:space="preserve">Human controls: no flagged discrepancy, dosing suggestion, or draft report reaches the medical record without explicit physician/radiologist approval through the human-in-the-loop interface.</w:t>
      </w:r>
    </w:p>
    <w:p>
      <w:pPr>
        <w:pStyle w:val="ListParagraph"/>
        <w:numPr>
          <w:ilvl w:val="0"/>
          <w:numId w:val="2"/>
        </w:numPr>
        <w:spacing w:after="70"/>
      </w:pPr>
      <w:r>
        <w:rPr>
          <w:rFonts w:ascii="Times New Roman" w:hAnsi="Times New Roman" w:eastAsia="Times New Roman" w:cs="Times New Roman"/>
          <w:color w:val="000000"/>
        </w:rPr>
        <w:t xml:space="preserve">External environment: the MedAgentBench FHIR server; external guideline/drug-label corpora used for retrieval.</w:t>
      </w:r>
    </w:p>
    <w:p>
      <w:pPr>
        <w:sectPr>
          <w:pgSz w:w="12240" w:h="15840" w:orient="portrait"/>
          <w:pgMar w:top="1440" w:right="1440" w:bottom="1440" w:left="1440" w:header="708" w:footer="708" w:gutter="0"/>
          <w:pgNumType/>
          <w:docGrid w:linePitch="360"/>
        </w:sectPr>
      </w:pPr>
    </w:p>
    <w:p>
      <w:pPr>
        <w:pStyle w:val="Heading3"/>
        <w:spacing w:after="100" w:before="260"/>
      </w:pPr>
      <w:r>
        <w:rPr>
          <w:rFonts w:ascii="Times New Roman" w:hAnsi="Times New Roman" w:eastAsia="Times New Roman" w:cs="Times New Roman"/>
          <w:color w:val="000000"/>
        </w:rPr>
        <w:t xml:space="preserve">5.9  Methodology / Architecture Diagram</w:t>
      </w:r>
    </w:p>
    <w:p>
      <w:pPr>
        <w:spacing w:after="120"/>
      </w:pPr>
      <w:r>
        <w:rPr>
          <w:rFonts w:ascii="Times New Roman" w:hAnsi="Times New Roman" w:eastAsia="Times New Roman" w:cs="Times New Roman"/>
          <w:color w:val="000000"/>
        </w:rPr>
        <w:t xml:space="preserve">The diagram below shows the proposed agentic system against the non-agentic baseline, with each of the three selected research gaps marked at the component that addresses it.</w:t>
      </w:r>
    </w:p>
    <w:p>
      <w:pPr>
        <w:jc w:val="center"/>
      </w:pPr>
      <w:r>
        <w:rPr>
          <w:rFonts w:ascii="Times New Roman" w:hAnsi="Times New Roman" w:eastAsia="Times New Roman" w:cs="Times New Roman"/>
          <w:color w:val="000000"/>
        </w:rPr>
        <w:drawing>
          <wp:inline distT="0" distB="0" distL="0" distR="0">
            <wp:extent cx="8572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5181600"/>
                    </a:xfrm>
                    <a:prstGeom prst="rect">
                      <a:avLst/>
                    </a:prstGeom>
                  </pic:spPr>
                </pic:pic>
              </a:graphicData>
            </a:graphic>
          </wp:inline>
        </w:drawing>
      </w:r>
    </w:p>
    <w:p>
      <w:pPr>
        <w:sectPr>
          <w:pgSz w:w="15840" w:h="12240" w:orient="portrait"/>
          <w:pgMar w:top="720" w:right="500" w:bottom="720" w:left="500" w:header="708" w:footer="708" w:gutter="0"/>
          <w:pgNumType/>
          <w:docGrid w:linePitch="360"/>
        </w:sectPr>
      </w:pPr>
    </w:p>
    <w:p>
      <w:pPr>
        <w:pStyle w:val="Heading3"/>
        <w:spacing w:after="100" w:before="260"/>
      </w:pPr>
      <w:r>
        <w:rPr>
          <w:rFonts w:ascii="Times New Roman" w:hAnsi="Times New Roman" w:eastAsia="Times New Roman" w:cs="Times New Roman"/>
          <w:color w:val="000000"/>
        </w:rPr>
        <w:t xml:space="preserve">5.10  Baseline</w:t>
      </w:r>
    </w:p>
    <w:p>
      <w:pPr>
        <w:pStyle w:val="ListParagraph"/>
        <w:numPr>
          <w:ilvl w:val="0"/>
          <w:numId w:val="2"/>
        </w:numPr>
        <w:spacing w:after="70"/>
      </w:pPr>
      <w:r>
        <w:rPr>
          <w:rFonts w:ascii="Times New Roman" w:hAnsi="Times New Roman" w:eastAsia="Times New Roman" w:cs="Times New Roman"/>
          <w:color w:val="000000"/>
        </w:rPr>
        <w:t xml:space="preserve">Base-paper baseline: the unmodified MedAgentBench single-LLM agent (no added tools), evaluated directly on the same FHIR task set — this is “the base paper's approach” required as a baseline.</w:t>
      </w:r>
    </w:p>
    <w:p>
      <w:pPr>
        <w:pStyle w:val="ListParagraph"/>
        <w:numPr>
          <w:ilvl w:val="0"/>
          <w:numId w:val="2"/>
        </w:numPr>
        <w:spacing w:after="70"/>
      </w:pPr>
      <w:r>
        <w:rPr>
          <w:rFonts w:ascii="Times New Roman" w:hAnsi="Times New Roman" w:eastAsia="Times New Roman" w:cs="Times New Roman"/>
          <w:color w:val="000000"/>
        </w:rPr>
        <w:t xml:space="preserve">Deterministic/rule-based baseline: a hard-coded dosing-calculation script with no LLM reasoning, used to show the ceiling (and the rigidity) of a purely non-agentic approach for Gap 1.</w:t>
      </w:r>
    </w:p>
    <w:p>
      <w:pPr>
        <w:pStyle w:val="ListParagraph"/>
        <w:numPr>
          <w:ilvl w:val="0"/>
          <w:numId w:val="2"/>
        </w:numPr>
        <w:spacing w:after="70"/>
      </w:pPr>
      <w:r>
        <w:rPr>
          <w:rFonts w:ascii="Times New Roman" w:hAnsi="Times New Roman" w:eastAsia="Times New Roman" w:cs="Times New Roman"/>
          <w:color w:val="000000"/>
        </w:rPr>
        <w:t xml:space="preserve">Unimodal baselines for Gap 3: audio-only and image-only report generation, each compared against the fused audio+image pipeline.</w:t>
      </w:r>
    </w:p>
    <w:p>
      <w:pPr>
        <w:pStyle w:val="Heading3"/>
        <w:spacing w:after="100" w:before="260"/>
      </w:pPr>
      <w:r>
        <w:rPr>
          <w:rFonts w:ascii="Times New Roman" w:hAnsi="Times New Roman" w:eastAsia="Times New Roman" w:cs="Times New Roman"/>
          <w:color w:val="000000"/>
        </w:rPr>
        <w:t xml:space="preserve">5.11  Research Questions and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Mar>
              <w:top w:type="dxa" w:w="80"/>
              <w:left w:type="dxa" w:w="100"/>
              <w:bottom w:type="dxa" w:w="80"/>
              <w:right w:type="dxa" w:w="100"/>
            </w:tcMar>
            <w:vAlign w:val="center"/>
          </w:tcPr>
          <w:p>
            <w:r>
              <w:rPr>
                <w:rFonts w:ascii="Times New Roman" w:hAnsi="Times New Roman" w:eastAsia="Times New Roman" w:cs="Times New Roman"/>
                <w:b/>
                <w:bCs/>
                <w:color w:val="000000"/>
                <w:sz w:val="20"/>
                <w:szCs w:val="20"/>
              </w:rPr>
              <w:t xml:space="preserve">Gap</w:t>
            </w:r>
          </w:p>
        </w:tc>
        <w:tc>
          <w:tcPr>
            <w:tcW w:type="dxa" w:w="3980"/>
            <w:tcMar>
              <w:top w:type="dxa" w:w="80"/>
              <w:left w:type="dxa" w:w="100"/>
              <w:bottom w:type="dxa" w:w="80"/>
              <w:right w:type="dxa" w:w="100"/>
            </w:tcMar>
            <w:vAlign w:val="center"/>
          </w:tcPr>
          <w:p>
            <w:r>
              <w:rPr>
                <w:rFonts w:ascii="Times New Roman" w:hAnsi="Times New Roman" w:eastAsia="Times New Roman" w:cs="Times New Roman"/>
                <w:b/>
                <w:bCs/>
                <w:color w:val="000000"/>
                <w:sz w:val="20"/>
                <w:szCs w:val="20"/>
              </w:rPr>
              <w:t xml:space="preserve">Research question</w:t>
            </w:r>
          </w:p>
        </w:tc>
        <w:tc>
          <w:tcPr>
            <w:tcW w:type="dxa" w:w="398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Hypothesis</w:t>
            </w:r>
          </w:p>
        </w:tc>
      </w:tr>
      <w:tr>
        <w:tc>
          <w:tcPr>
            <w:tcW w:type="dxa" w:w="14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Gap 1 — Action reliability</w:t>
            </w:r>
          </w:p>
        </w:tc>
        <w:tc>
          <w:tcPr>
            <w:tcW w:type="dxa" w:w="398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Does augmenting the MedAgentBench agent with a deterministic dosing-calculation and drug-label retrieval tool layer improve action-task success on medication-ordering tasks, compared with the unaugmented agent?</w:t>
            </w:r>
          </w:p>
        </w:tc>
        <w:tc>
          <w:tcPr>
            <w:tcW w:type="dxa" w:w="398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H1: The tool-augmented agent will achieve an action-task success rate at least 15 percentage points higher than the base MedAgentBench agent on the same task set.</w:t>
            </w:r>
          </w:p>
        </w:tc>
      </w:tr>
      <w:tr>
        <w:tc>
          <w:tcPr>
            <w:tcW w:type="dxa" w:w="14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Gap 2 — Process guardian</w:t>
            </w:r>
          </w:p>
        </w:tc>
        <w:tc>
          <w:tcPr>
            <w:tcW w:type="dxa" w:w="398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Can an agent that explicitly models a patient's medication- and lab-value timeline detect peri-operative safety violations (incorrect anticoagulation hold/restart timing, out-of-range pre-operative labs) more reliably than an agent without explicit timeline reasoning?</w:t>
            </w:r>
          </w:p>
        </w:tc>
        <w:tc>
          <w:tcPr>
            <w:tcW w:type="dxa" w:w="398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H2: The timeline-aware guardian agent will achieve a discrepancy-detection F1 at least 0.15 higher than a non-timeline-aware LLM baseline on a synthetic test set with injected errors.</w:t>
            </w:r>
          </w:p>
        </w:tc>
      </w:tr>
      <w:tr>
        <w:tc>
          <w:tcPr>
            <w:tcW w:type="dxa" w:w="14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Gap 3 — Multimodal fusion</w:t>
            </w:r>
          </w:p>
        </w:tc>
        <w:tc>
          <w:tcPr>
            <w:tcW w:type="dxa" w:w="398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Does fusing ultrasound screenshot measurements with the radiologist's spoken annotation produce more accurate structured reports than using either modality alone?</w:t>
            </w:r>
          </w:p>
        </w:tc>
        <w:tc>
          <w:tcPr>
            <w:tcW w:type="dxa" w:w="398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H3: The fused-input pipeline will achieve a higher field-level report F1 than both an audio-only and an image-only ablation on the same evaluation set.</w:t>
            </w:r>
          </w:p>
        </w:tc>
      </w:tr>
    </w:tbl>
    <w:p>
      <w:pPr>
        <w:spacing w:after="40"/>
      </w:pPr>
      <w:r>
        <w:rPr>
          <w:rFonts w:ascii="Times New Roman" w:hAnsi="Times New Roman" w:eastAsia="Times New Roman" w:cs="Times New Roman"/>
          <w:color w:val="000000"/>
        </w:rPr>
        <w:t xml:space="preserve"/>
      </w:r>
    </w:p>
    <w:p>
      <w:pPr>
        <w:pStyle w:val="Heading3"/>
        <w:spacing w:after="100" w:before="260"/>
      </w:pPr>
      <w:r>
        <w:rPr>
          <w:rFonts w:ascii="Times New Roman" w:hAnsi="Times New Roman" w:eastAsia="Times New Roman" w:cs="Times New Roman"/>
          <w:color w:val="000000"/>
        </w:rPr>
        <w:t xml:space="preserve">5.12  Evaluation Plan</w:t>
      </w:r>
    </w:p>
    <w:p>
      <w:pPr>
        <w:spacing w:after="140"/>
      </w:pPr>
      <w:r>
        <w:rPr>
          <w:rFonts w:ascii="Times New Roman" w:hAnsi="Times New Roman" w:eastAsia="Times New Roman" w:cs="Times New Roman"/>
          <w:b/>
          <w:bCs/>
          <w:color w:val="000000"/>
        </w:rPr>
        <w:t xml:space="preserve">Evaluation sets: </w:t>
      </w:r>
      <w:r>
        <w:rPr>
          <w:rFonts w:ascii="Times New Roman" w:hAnsi="Times New Roman" w:eastAsia="Times New Roman" w:cs="Times New Roman"/>
          <w:color w:val="000000"/>
        </w:rPr>
        <w:t xml:space="preserve">(i) the MedAgentBench medication/lab-order task subset plus our extended synthetic renal-dosing/anticoagulation-timeline set with injected known-answer errors; (ii) a held-out sonography evaluation set of public ultrasound images paired with synthetic spoken annotations.</w:t>
      </w:r>
    </w:p>
    <w:p>
      <w:pPr>
        <w:spacing w:after="140"/>
      </w:pPr>
      <w:r>
        <w:rPr>
          <w:rFonts w:ascii="Times New Roman" w:hAnsi="Times New Roman" w:eastAsia="Times New Roman" w:cs="Times New Roman"/>
          <w:b/>
          <w:bCs/>
          <w:color w:val="000000"/>
        </w:rPr>
        <w:t xml:space="preserve">Metrics: </w:t>
      </w:r>
      <w:r>
        <w:rPr>
          <w:rFonts w:ascii="Times New Roman" w:hAnsi="Times New Roman" w:eastAsia="Times New Roman" w:cs="Times New Roman"/>
          <w:color w:val="000000"/>
        </w:rPr>
        <w:t xml:space="preserve">action-task and overall task success rate (Gap 1); discrepancy-detection precision, recall, and F1, plus a severity-weighted miss rate (Gap 2); field-level report F1 and BLEU-4 as a secondary metric, plus a clinician Likert accuracy rating (Gap 3).</w:t>
      </w:r>
    </w:p>
    <w:p>
      <w:pPr>
        <w:spacing w:after="140"/>
      </w:pPr>
      <w:r>
        <w:rPr>
          <w:rFonts w:ascii="Times New Roman" w:hAnsi="Times New Roman" w:eastAsia="Times New Roman" w:cs="Times New Roman"/>
          <w:b/>
          <w:bCs/>
          <w:color w:val="000000"/>
        </w:rPr>
        <w:t xml:space="preserve">Comparisons: </w:t>
      </w:r>
      <w:r>
        <w:rPr>
          <w:rFonts w:ascii="Times New Roman" w:hAnsi="Times New Roman" w:eastAsia="Times New Roman" w:cs="Times New Roman"/>
          <w:color w:val="000000"/>
        </w:rPr>
        <w:t xml:space="preserve">base MedAgentBench agent vs. tool-augmented agent; rule-based script vs. agentic dosing approach; audio-only vs. image-only vs. fused sonography pipeline.</w:t>
      </w:r>
    </w:p>
    <w:p>
      <w:pPr>
        <w:spacing w:after="140"/>
      </w:pPr>
      <w:r>
        <w:rPr>
          <w:rFonts w:ascii="Times New Roman" w:hAnsi="Times New Roman" w:eastAsia="Times New Roman" w:cs="Times New Roman"/>
          <w:b/>
          <w:bCs/>
          <w:color w:val="000000"/>
        </w:rPr>
        <w:t xml:space="preserve">Ablations: </w:t>
      </w:r>
      <w:r>
        <w:rPr>
          <w:rFonts w:ascii="Times New Roman" w:hAnsi="Times New Roman" w:eastAsia="Times New Roman" w:cs="Times New Roman"/>
          <w:color w:val="000000"/>
        </w:rPr>
        <w:t xml:space="preserve">remove each tool (EHR query, calculator, RAG, timeline verifier) one at a time to isolate its contribution; remove the verification/guardian layer entirely; remove RAG retrieval from the guideline-grounding step.</w:t>
      </w:r>
    </w:p>
    <w:p>
      <w:pPr>
        <w:spacing w:after="140"/>
      </w:pPr>
      <w:r>
        <w:rPr>
          <w:rFonts w:ascii="Times New Roman" w:hAnsi="Times New Roman" w:eastAsia="Times New Roman" w:cs="Times New Roman"/>
          <w:b/>
          <w:bCs/>
          <w:color w:val="000000"/>
        </w:rPr>
        <w:t xml:space="preserve">System measures: </w:t>
      </w:r>
      <w:r>
        <w:rPr>
          <w:rFonts w:ascii="Times New Roman" w:hAnsi="Times New Roman" w:eastAsia="Times New Roman" w:cs="Times New Roman"/>
          <w:color w:val="000000"/>
        </w:rPr>
        <w:t xml:space="preserve">latency per task, API/compute cost per task, output variance across repeated runs (reliability), and tool-call efficiency (number of tool calls per correct outcome) — all reported with an eye to SME deployment cost constraints.</w:t>
      </w:r>
    </w:p>
    <w:p>
      <w:pPr>
        <w:pStyle w:val="Heading3"/>
        <w:spacing w:after="100" w:before="260"/>
      </w:pPr>
      <w:r>
        <w:rPr>
          <w:rFonts w:ascii="Times New Roman" w:hAnsi="Times New Roman" w:eastAsia="Times New Roman" w:cs="Times New Roman"/>
          <w:color w:val="000000"/>
        </w:rPr>
        <w:t xml:space="preserve">5.13  Milestones and Feasibility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4230"/>
        <w:gridCol w:w="2230"/>
      </w:tblGrid>
      <w:tr>
        <w:trPr>
          <w:tblHeader/>
        </w:trPr>
        <w:tc>
          <w:tcPr>
            <w:tcW w:type="dxa" w:w="190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Timeframe</w:t>
            </w:r>
          </w:p>
        </w:tc>
        <w:tc>
          <w:tcPr>
            <w:tcW w:type="dxa" w:w="4230"/>
            <w:tcMar>
              <w:top w:type="dxa" w:w="80"/>
              <w:left w:type="dxa" w:w="100"/>
              <w:bottom w:type="dxa" w:w="80"/>
              <w:right w:type="dxa" w:w="100"/>
            </w:tcMar>
            <w:vAlign w:val="center"/>
          </w:tcPr>
          <w:p>
            <w:r>
              <w:rPr>
                <w:rFonts w:ascii="Times New Roman" w:hAnsi="Times New Roman" w:eastAsia="Times New Roman" w:cs="Times New Roman"/>
                <w:b/>
                <w:bCs/>
                <w:color w:val="000000"/>
                <w:sz w:val="20"/>
                <w:szCs w:val="20"/>
              </w:rPr>
              <w:t xml:space="preserve">Milestone</w:t>
            </w:r>
          </w:p>
        </w:tc>
        <w:tc>
          <w:tcPr>
            <w:tcW w:type="dxa" w:w="223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Output</w:t>
            </w:r>
          </w:p>
        </w:tc>
      </w:tr>
      <w:tr>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Weeks 1–2 (Phase 1)</w:t>
            </w:r>
          </w:p>
        </w:tc>
        <w:tc>
          <w:tcPr>
            <w:tcW w:type="dxa" w:w="423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Literature review, base-paper selection, architecture design, baseline agent running end-to-end on the public MedAgentBench FHIR environment.</w:t>
            </w:r>
          </w:p>
        </w:tc>
        <w:tc>
          <w:tcPr>
            <w:tcW w:type="dxa" w:w="223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Completed in Deliverables A/C</w:t>
            </w:r>
          </w:p>
        </w:tc>
      </w:tr>
      <w:tr>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Weeks 3–5</w:t>
            </w:r>
          </w:p>
        </w:tc>
        <w:tc>
          <w:tcPr>
            <w:tcW w:type="dxa" w:w="423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Implement the dosing-calculator and drug-label/guideline RAG tools; re-evaluate the agent on MedAgentBench medication/lab tasks (Gap 1).</w:t>
            </w:r>
          </w:p>
        </w:tc>
        <w:tc>
          <w:tcPr>
            <w:tcW w:type="dxa" w:w="223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Gap 1 tool layer</w:t>
            </w:r>
          </w:p>
        </w:tc>
      </w:tr>
      <w:tr>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Weeks 6–8</w:t>
            </w:r>
          </w:p>
        </w:tc>
        <w:tc>
          <w:tcPr>
            <w:tcW w:type="dxa" w:w="423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Build the timeline verifier and guardian layer; construct the synthetic discrepancy-injection test set; run Gap 2 experiments and ablations.</w:t>
            </w:r>
          </w:p>
        </w:tc>
        <w:tc>
          <w:tcPr>
            <w:tcW w:type="dxa" w:w="223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Gap 2 guardian agent</w:t>
            </w:r>
          </w:p>
        </w:tc>
      </w:tr>
      <w:tr>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Weeks 9–10</w:t>
            </w:r>
          </w:p>
        </w:tc>
        <w:tc>
          <w:tcPr>
            <w:tcW w:type="dxa" w:w="423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Build the sonography MVP (OCR/vision extraction + ASR + fused report generator); run Gap 3 experiments and ablations.</w:t>
            </w:r>
          </w:p>
        </w:tc>
        <w:tc>
          <w:tcPr>
            <w:tcW w:type="dxa" w:w="223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Gap 3 sonography MVP</w:t>
            </w:r>
          </w:p>
        </w:tc>
      </w:tr>
      <w:tr>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Weeks 11–13</w:t>
            </w:r>
          </w:p>
        </w:tc>
        <w:tc>
          <w:tcPr>
            <w:tcW w:type="dxa" w:w="423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Integrate both subsystems behind the human-in-the-loop approval interface; run the full gap-wise evaluation; begin paper writing.</w:t>
            </w:r>
          </w:p>
        </w:tc>
        <w:tc>
          <w:tcPr>
            <w:tcW w:type="dxa" w:w="223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End-to-end demo</w:t>
            </w:r>
          </w:p>
        </w:tc>
      </w:tr>
      <w:tr>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Weeks 14–15</w:t>
            </w:r>
          </w:p>
        </w:tc>
        <w:tc>
          <w:tcPr>
            <w:tcW w:type="dxa" w:w="423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Finalize the conference-style paper, Turnitin similarity/AI-writing reports, and presentation; rehearse the live demo and viva.</w:t>
            </w:r>
          </w:p>
        </w:tc>
        <w:tc>
          <w:tcPr>
            <w:tcW w:type="dxa" w:w="223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Final submission</w:t>
            </w:r>
          </w:p>
        </w:tc>
      </w:tr>
    </w:tbl>
    <w:p>
      <w:pPr>
        <w:spacing w:after="40"/>
      </w:pPr>
      <w:r>
        <w:rPr>
          <w:rFonts w:ascii="Times New Roman" w:hAnsi="Times New Roman" w:eastAsia="Times New Roman" w:cs="Times New Roman"/>
          <w:color w:val="000000"/>
        </w:rPr>
        <w:t xml:space="preserve"/>
      </w:r>
    </w:p>
    <w:p>
      <w:pPr>
        <w:spacing w:after="140"/>
      </w:pPr>
      <w:r>
        <w:rPr>
          <w:rFonts w:ascii="Times New Roman" w:hAnsi="Times New Roman" w:eastAsia="Times New Roman" w:cs="Times New Roman"/>
          <w:b/>
          <w:bCs/>
          <w:color w:val="000000"/>
        </w:rPr>
        <w:t xml:space="preserve">Technical risks and fallback: </w:t>
      </w:r>
      <w:r>
        <w:rPr>
          <w:rFonts w:ascii="Times New Roman" w:hAnsi="Times New Roman" w:eastAsia="Times New Roman" w:cs="Times New Roman"/>
          <w:color w:val="000000"/>
        </w:rPr>
        <w:t xml:space="preserve">(1) Real EHR/hospital data or ethics approval may not arrive in time → the synthetic MedAgentBench-based dataset remains the primary evaluation throughout, with real data used only as a bonus validation set if available. (2) API cost/rate limits for repeated agent evaluation → cache tool outputs and reserve frontier-model calls for headline results, using a smaller open model for ablation sweeps. (3) Simulated-dictation audio may not reflect real speech variability → start with clean TTS audio and add noise/accent variants as a stretch goal. (4) Two-module scope creep → Gaps 1–2 (the Process Guardian) are treated as the core, fully evaluated deliverable; Gap 3 (sonography) is time-boxed to an MVP and reduced in scope first if the schedule slips, per the course's required “one clinical task” scope refinement.</w:t>
      </w:r>
    </w:p>
    <w:p>
      <w:pPr>
        <w:pStyle w:val="Heading3"/>
        <w:spacing w:after="100" w:before="260"/>
      </w:pPr>
      <w:r>
        <w:rPr>
          <w:rFonts w:ascii="Times New Roman" w:hAnsi="Times New Roman" w:eastAsia="Times New Roman" w:cs="Times New Roman"/>
          <w:color w:val="000000"/>
        </w:rPr>
        <w:t xml:space="preserve">5.14  Work Division</w:t>
      </w:r>
    </w:p>
    <w:p>
      <w:pPr>
        <w:spacing w:after="140"/>
      </w:pPr>
      <w:r>
        <w:rPr>
          <w:rFonts w:ascii="Times New Roman" w:hAnsi="Times New Roman" w:eastAsia="Times New Roman" w:cs="Times New Roman"/>
          <w:b/>
          <w:bCs/>
          <w:color w:val="000000"/>
        </w:rPr>
        <w:t xml:space="preserve">Group Head (Syed Muhammad Mustafa, 23i-0661): </w:t>
      </w:r>
      <w:r>
        <w:rPr>
          <w:rFonts w:ascii="Times New Roman" w:hAnsi="Times New Roman" w:eastAsia="Times New Roman" w:cs="Times New Roman"/>
          <w:color w:val="000000"/>
        </w:rPr>
        <w:t xml:space="preserve">Leads Module 1 (Clinical Reasoning &amp; Process Guardian): tool integration, MedAgentBench evaluation harness, Gap 1 and Gap 2 experiments and ablations.</w:t>
      </w:r>
    </w:p>
    <w:p>
      <w:pPr>
        <w:spacing w:after="140"/>
      </w:pPr>
      <w:r>
        <w:rPr>
          <w:rFonts w:ascii="Times New Roman" w:hAnsi="Times New Roman" w:eastAsia="Times New Roman" w:cs="Times New Roman"/>
          <w:b/>
          <w:bCs/>
          <w:color w:val="000000"/>
        </w:rPr>
        <w:t xml:space="preserve">Group Member (Muhammad bin Taimur, 23i-0810): </w:t>
      </w:r>
      <w:r>
        <w:rPr>
          <w:rFonts w:ascii="Times New Roman" w:hAnsi="Times New Roman" w:eastAsia="Times New Roman" w:cs="Times New Roman"/>
          <w:color w:val="000000"/>
        </w:rPr>
        <w:t xml:space="preserve">Leads Module 2 (Sonography Reporting): OCR/ASR pipeline, fused report generator, guideline/drug-label RAG indexing shared with Module 1, Gap 3 experiments and ablations.</w:t>
      </w:r>
    </w:p>
    <w:p>
      <w:pPr>
        <w:spacing w:after="160"/>
      </w:pPr>
      <w:r>
        <w:rPr>
          <w:rFonts w:ascii="Times New Roman" w:hAnsi="Times New Roman" w:eastAsia="Times New Roman" w:cs="Times New Roman"/>
          <w:color w:val="000000"/>
        </w:rPr>
        <w:t xml:space="preserve">Both members share responsibility for the literature review, proposal, system architecture, paper writing, and understanding the complete system end-to-end, as required regardless of task division.</w:t>
      </w:r>
    </w:p>
    <w:p>
      <w:pPr>
        <w:pStyle w:val="Heading3"/>
        <w:spacing w:after="100" w:before="260"/>
      </w:pPr>
      <w:r>
        <w:rPr>
          <w:rFonts w:ascii="Times New Roman" w:hAnsi="Times New Roman" w:eastAsia="Times New Roman" w:cs="Times New Roman"/>
          <w:color w:val="000000"/>
        </w:rPr>
        <w:t xml:space="preserve">5.15  Potential Publication Direction</w:t>
      </w:r>
    </w:p>
    <w:p>
      <w:pPr>
        <w:spacing w:after="160"/>
      </w:pPr>
      <w:r>
        <w:rPr>
          <w:rFonts w:ascii="Times New Roman" w:hAnsi="Times New Roman" w:eastAsia="Times New Roman" w:cs="Times New Roman"/>
          <w:color w:val="000000"/>
        </w:rPr>
        <w:t xml:space="preserve">The most novel and publishable contribution is Gap 2: no existing published benchmark evaluates whether an agentic system correctly audits a time-sensitive clinical safety process (anticoagulation hold/restart timing, pre-operative lab thresholds) across a patient timeline rather than at a single static point. If the guardian agent's results are strong and reproducible, this component is the primary candidate for submission to a clinical-NLP or health-AI workshop (e.g., a workshop track at ML4H, the Clinical NLP workshop, or a similar venue co-located with ACL/EMNLP/NeurIPS), with the full MedGuardian system as supporting evidence of real-world applicability.</w:t>
      </w:r>
    </w:p>
    <w:p>
      <w:pPr>
        <w:pStyle w:val="Heading3"/>
        <w:spacing w:after="100" w:before="260"/>
      </w:pPr>
      <w:r>
        <w:rPr>
          <w:rFonts w:ascii="Times New Roman" w:hAnsi="Times New Roman" w:eastAsia="Times New Roman" w:cs="Times New Roman"/>
          <w:color w:val="000000"/>
        </w:rPr>
        <w:t xml:space="preserve">References</w:t>
      </w:r>
    </w:p>
    <w:p>
      <w:pPr>
        <w:spacing w:after="60"/>
      </w:pPr>
      <w:r>
        <w:rPr>
          <w:rFonts w:ascii="Times New Roman" w:hAnsi="Times New Roman" w:eastAsia="Times New Roman" w:cs="Times New Roman"/>
          <w:color w:val="000000"/>
        </w:rPr>
        <w:t xml:space="preserve">[1] Y. Jiang, K. C. Black, G. Geng, D. Park, J. Zou, A. Y. Ng, and J. H. Chen, “MedAgentBench: A virtual EHR environment to benchmark medical LLM agents,” NEJM AI, vol. 2, no. 9, Art. no. AIdbp2500144, 2025.</w:t>
      </w:r>
    </w:p>
    <w:p>
      <w:pPr>
        <w:spacing w:after="60"/>
      </w:pPr>
      <w:r>
        <w:rPr>
          <w:rFonts w:ascii="Times New Roman" w:hAnsi="Times New Roman" w:eastAsia="Times New Roman" w:cs="Times New Roman"/>
          <w:color w:val="000000"/>
        </w:rPr>
        <w:t xml:space="preserve">[2] D. Ferber et al., “Development and validation of an autonomous artificial intelligence agent for clinical decision-making in oncology,” Nature Cancer, vol. 6, pp. 1337–1349, 2025.</w:t>
      </w:r>
    </w:p>
    <w:p>
      <w:pPr>
        <w:spacing w:after="60"/>
      </w:pPr>
      <w:r>
        <w:rPr>
          <w:rFonts w:ascii="Times New Roman" w:hAnsi="Times New Roman" w:eastAsia="Times New Roman" w:cs="Times New Roman"/>
          <w:color w:val="000000"/>
        </w:rPr>
        <w:t xml:space="preserve">[3] A. J. Goodell, S. N. Chu, D. Rouholiman, and L. F. Chu, “Large language model agents can use tools to perform clinical calculations,” npj Digital Medicine, vol. 8, Art. no. 163, 2025.</w:t>
      </w:r>
    </w:p>
    <w:p>
      <w:pPr>
        <w:spacing w:after="60"/>
      </w:pPr>
      <w:r>
        <w:rPr>
          <w:rFonts w:ascii="Times New Roman" w:hAnsi="Times New Roman" w:eastAsia="Times New Roman" w:cs="Times New Roman"/>
          <w:color w:val="000000"/>
        </w:rPr>
        <w:t xml:space="preserve">[4] Q. Jin et al., “AgentMD: Empowering language agents for risk prediction with large-scale clinical tool learning,” Nature Communications, vol. 16, Art. no. 9377, 2025.</w:t>
      </w:r>
    </w:p>
    <w:p>
      <w:pPr>
        <w:spacing w:after="60"/>
      </w:pPr>
      <w:r>
        <w:rPr>
          <w:rFonts w:ascii="Times New Roman" w:hAnsi="Times New Roman" w:eastAsia="Times New Roman" w:cs="Times New Roman"/>
          <w:color w:val="000000"/>
        </w:rPr>
        <w:t xml:space="preserve">[5] J. C. L. Ong et al., “Large language model as clinical decision support system augments medication safety in 16 clinical specialties,” Cell Reports Medicine, vol. 6, no. 10, Art. no. 102323, 2025.</w:t>
      </w:r>
    </w:p>
    <w:p>
      <w:pPr>
        <w:spacing w:after="60"/>
      </w:pPr>
      <w:r>
        <w:rPr>
          <w:rFonts w:ascii="Times New Roman" w:hAnsi="Times New Roman" w:eastAsia="Times New Roman" w:cs="Times New Roman"/>
          <w:color w:val="000000"/>
        </w:rPr>
        <w:t xml:space="preserve">[6] Y. H. Ke et al., “Retrieval augmented generation for 10 large language models and its generalizability in assessing medical fitness,” npj Digital Medicine, vol. 8, Art. no. 187, 2025.</w:t>
      </w:r>
    </w:p>
    <w:p>
      <w:pPr>
        <w:spacing w:after="60"/>
      </w:pPr>
      <w:r>
        <w:rPr>
          <w:rFonts w:ascii="Times New Roman" w:hAnsi="Times New Roman" w:eastAsia="Times New Roman" w:cs="Times New Roman"/>
          <w:color w:val="000000"/>
        </w:rPr>
        <w:t xml:space="preserve">[7] H. A. Zaki, A. Brea, K. Parvataneni, H. Saab, C. P. Bridge, S. Tripathi, and D. Daye, “Retrieval-augmented language models for patient-centered periprocedural anticoagulation in interventional radiology,” CardioVascular and Interventional Radiology, vol. 49, no. 6, pp. 1177–1187, 2026.</w:t>
      </w:r>
    </w:p>
    <w:p>
      <w:pPr>
        <w:spacing w:after="60"/>
      </w:pPr>
      <w:r>
        <w:rPr>
          <w:rFonts w:ascii="Times New Roman" w:hAnsi="Times New Roman" w:eastAsia="Times New Roman" w:cs="Times New Roman"/>
          <w:color w:val="000000"/>
        </w:rPr>
        <w:t xml:space="preserve">[8] R. J. Gertz, N. C. Beste, T. Dratsch, J. Kottlors et al., “From dictation to diagnosis: Enhancing radiology reporting with integrated speech recognition in multimodal large language models,” European Radiology, vol. 36, no. 2, pp. 1553–1561, 2026.</w:t>
      </w:r>
    </w:p>
    <w:p>
      <w:pPr>
        <w:spacing w:after="60"/>
      </w:pPr>
      <w:r>
        <w:rPr>
          <w:rFonts w:ascii="Times New Roman" w:hAnsi="Times New Roman" w:eastAsia="Times New Roman" w:cs="Times New Roman"/>
          <w:color w:val="000000"/>
        </w:rPr>
        <w:t xml:space="preserve">[9] P. Hao, J. Zhang, S. Zhang, F. Wu et al., “UltraReporter for transforming spoken diagnostic cues into structured ultrasound reports with large language models,” Scientific Reports, vol. 16, Art. no. 13662, 2026.</w:t>
      </w:r>
    </w:p>
    <w:p>
      <w:pPr>
        <w:spacing w:after="60"/>
      </w:pPr>
      <w:r>
        <w:rPr>
          <w:rFonts w:ascii="Times New Roman" w:hAnsi="Times New Roman" w:eastAsia="Times New Roman" w:cs="Times New Roman"/>
          <w:color w:val="000000"/>
        </w:rPr>
        <w:t xml:space="preserve">[10] Y. H. Ke, B. S. Y. Ong, L. Jin et al., “Clinical and economic impact of a large language model in perioperative medicine: A randomized crossover trial,” npj Digital Medicine, vol. 8, Art. no. 462,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Fonts w:ascii="Times New Roman" w:hAnsi="Times New Roman" w:eastAsia="Times New Roman" w:cs="Times New Roman"/>
          <w:rStyle w:val="EndnoteReference"/>
          <w:color w:val="000000"/>
        </w:rPr>
        <w:endnoteRef/>
      </w:r>
      <w:r>
        <w:rPr>
          <w:rFonts w:ascii="Times New Roman" w:hAnsi="Times New Roman" w:eastAsia="Times New Roman" w:cs="Times New Roman"/>
          <w:color w:val="000000"/>
        </w:rPr>
        <w:separator/>
      </w:r>
    </w:p>
  </w:endnote>
  <w:endnote w:type="continuationSeparator" w:id="0">
    <w:p>
      <w:pPr>
        <w:spacing w:after="0" w:line="240" w:lineRule="auto"/>
      </w:pPr>
      <w:r>
        <w:rPr>
          <w:rFonts w:ascii="Times New Roman" w:hAnsi="Times New Roman" w:eastAsia="Times New Roman" w:cs="Times New Roman"/>
          <w:rStyle w:val="EndnoteReference"/>
          <w:color w:val="000000"/>
        </w:rPr>
        <w:endnoteRef/>
      </w:r>
      <w:r>
        <w:rPr>
          <w:rFonts w:ascii="Times New Roman" w:hAnsi="Times New Roman" w:eastAsia="Times New Roman" w:cs="Times New Roman"/>
          <w:color w:val="000000"/>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Fonts w:ascii="Times New Roman" w:hAnsi="Times New Roman" w:eastAsia="Times New Roman" w:cs="Times New Roman"/>
          <w:rStyle w:val="FootnoteReference"/>
          <w:color w:val="000000"/>
        </w:rPr>
        <w:footnoteRef/>
      </w:r>
      <w:r>
        <w:rPr>
          <w:rFonts w:ascii="Times New Roman" w:hAnsi="Times New Roman" w:eastAsia="Times New Roman" w:cs="Times New Roman"/>
          <w:color w:val="000000"/>
        </w:rPr>
        <w:separator/>
      </w:r>
    </w:p>
  </w:footnote>
  <w:footnote w:type="continuationSeparator" w:id="0">
    <w:p>
      <w:pPr>
        <w:spacing w:after="0" w:line="240" w:lineRule="auto"/>
      </w:pPr>
      <w:r>
        <w:rPr>
          <w:rFonts w:ascii="Times New Roman" w:hAnsi="Times New Roman" w:eastAsia="Times New Roman" w:cs="Times New Roman"/>
          <w:rStyle w:val="FootnoteReference"/>
          <w:color w:val="000000"/>
        </w:rPr>
        <w:footnoteRef/>
      </w:r>
      <w:r>
        <w:rPr>
          <w:rFonts w:ascii="Times New Roman" w:hAnsi="Times New Roman" w:eastAsia="Times New Roman" w:cs="Times New Roman"/>
          <w:color w:val="000000"/>
        </w:rP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color w:val="000000"/>
      </w:rPr>
    </w:rPrDefault>
    <w:pPrDefault/>
  </w:docDefaults>
  <w:style w:type="paragraph" w:styleId="Title">
    <w:name w:val="Title"/>
    <w:basedOn w:val="Normal"/>
    <w:next w:val="Normal"/>
    <w:qFormat/>
    <w:rPr>
      <w:rFonts w:ascii="Times New Roman" w:hAnsi="Times New Roman" w:eastAsia="Times New Roman" w:cs="Times New Roman"/>
      <w:bCs/>
      <w:b/>
      <w:sz w:val="32"/>
      <w:szCs w:val="32"/>
      <w:color w:val="000000"/>
    </w:rPr>
  </w:style>
  <w:style w:type="paragraph" w:styleId="Heading1">
    <w:name w:val="Heading 1"/>
    <w:basedOn w:val="Normal"/>
    <w:next w:val="Normal"/>
    <w:qFormat/>
    <w:rPr>
      <w:rFonts w:ascii="Times New Roman" w:hAnsi="Times New Roman" w:eastAsia="Times New Roman" w:cs="Times New Roman"/>
      <w:bCs/>
      <w:b/>
      <w:color w:val="000000"/>
      <w:sz w:val="28"/>
      <w:szCs w:val="28"/>
    </w:rPr>
  </w:style>
  <w:style w:type="paragraph" w:styleId="Heading2">
    <w:name w:val="Heading 2"/>
    <w:basedOn w:val="Normal"/>
    <w:next w:val="Normal"/>
    <w:qFormat/>
    <w:rPr>
      <w:rFonts w:ascii="Times New Roman" w:hAnsi="Times New Roman" w:eastAsia="Times New Roman" w:cs="Times New Roman"/>
      <w:bCs/>
      <w:b/>
      <w:color w:val="000000"/>
      <w:sz w:val="24"/>
      <w:szCs w:val="24"/>
    </w:rPr>
  </w:style>
  <w:style w:type="paragraph" w:styleId="Heading3">
    <w:name w:val="Heading 3"/>
    <w:basedOn w:val="Normal"/>
    <w:next w:val="Normal"/>
    <w:qFormat/>
    <w:rPr>
      <w:rFonts w:ascii="Times New Roman" w:hAnsi="Times New Roman" w:eastAsia="Times New Roman" w:cs="Times New Roman"/>
      <w:iCs/>
      <w:i/>
      <w:bCs/>
      <w:b/>
      <w:color w:val="000000"/>
      <w:sz w:val="24"/>
      <w:szCs w:val="24"/>
    </w:rPr>
  </w:style>
  <w:style w:type="paragraph" w:styleId="Heading4">
    <w:name w:val="Heading 4"/>
    <w:basedOn w:val="Normal"/>
    <w:next w:val="Normal"/>
    <w:qFormat/>
    <w:rPr>
      <w:rFonts w:ascii="Times New Roman" w:hAnsi="Times New Roman" w:eastAsia="Times New Roman" w:cs="Times New Roman"/>
      <w:iCs/>
      <w:i/>
      <w:bCs/>
      <w:b/>
      <w:color w:val="000000"/>
      <w:sz w:val="24"/>
      <w:szCs w:val="24"/>
    </w:rPr>
  </w:style>
  <w:style w:type="paragraph" w:styleId="Heading5">
    <w:name w:val="Heading 5"/>
    <w:basedOn w:val="Normal"/>
    <w:next w:val="Normal"/>
    <w:qFormat/>
    <w:rPr>
      <w:rFonts w:ascii="Times New Roman" w:hAnsi="Times New Roman" w:eastAsia="Times New Roman" w:cs="Times New Roman"/>
      <w:bCs/>
      <w:b/>
      <w:color w:val="000000"/>
      <w:sz w:val="24"/>
      <w:szCs w:val="24"/>
    </w:rPr>
  </w:style>
  <w:style w:type="paragraph" w:styleId="Heading6">
    <w:name w:val="Heading 6"/>
    <w:basedOn w:val="Normal"/>
    <w:next w:val="Normal"/>
    <w:qFormat/>
    <w:rPr>
      <w:rFonts w:ascii="Times New Roman" w:hAnsi="Times New Roman" w:eastAsia="Times New Roman" w:cs="Times New Roman"/>
      <w:iCs/>
      <w:i/>
      <w:color w:val="000000"/>
      <w:sz w:val="24"/>
      <w:szCs w:val="24"/>
    </w:rPr>
  </w:style>
  <w:style w:type="paragraph" w:styleId="Strong">
    <w:name w:val="Strong"/>
    <w:basedOn w:val="Normal"/>
    <w:next w:val="Normal"/>
    <w:qFormat/>
    <w:rPr>
      <w:rFonts w:ascii="Times New Roman" w:hAnsi="Times New Roman" w:eastAsia="Times New Roman" w:cs="Times New Roman"/>
      <w:b/>
      <w:bCs/>
      <w:color w:val="000000"/>
    </w:rPr>
  </w:style>
  <w:style w:type="paragraph" w:styleId="ListParagraph">
    <w:name w:val="List Paragraph"/>
    <w:basedOn w:val="Normal"/>
    <w:qFormat/>
    <w:rPr>
      <w:rFonts w:ascii="Times New Roman" w:hAnsi="Times New Roman" w:eastAsia="Times New Roman" w:cs="Times New Roman"/>
      <w:color w:val="000000"/>
    </w:rPr>
  </w:style>
  <w:style w:type="character" w:styleId="Hyperlink">
    <w:name w:val="Hyperlink"/>
    <w:basedOn w:val="DefaultParagraphFont"/>
    <w:uiPriority w:val="99"/>
    <w:unhideWhenUsed/>
    <w:rPr>
      <w:rFonts w:ascii="Times New Roman" w:hAnsi="Times New Roman" w:eastAsia="Times New Roman" w:cs="Times New Roman"/>
      <w:color w:val="000000"/>
      <w:u w:val="single"/>
    </w:rPr>
  </w:style>
  <w:style w:type="character" w:styleId="FootnoteReference">
    <w:name w:val="footnote reference"/>
    <w:basedOn w:val="DefaultParagraphFont"/>
    <w:uiPriority w:val="99"/>
    <w:semiHidden/>
    <w:unhideWhenUsed/>
    <w:rPr>
      <w:rFonts w:ascii="Times New Roman" w:hAnsi="Times New Roman" w:eastAsia="Times New Roman" w:cs="Times New Roman"/>
      <w:vertAlign w:val="superscript"/>
      <w:color w:val="000000"/>
    </w:rPr>
  </w:style>
  <w:style w:type="paragraph" w:styleId="FootnoteText">
    <w:name w:val="footnote text"/>
    <w:basedOn w:val="Normal"/>
    <w:link w:val="FootnoteTextChar"/>
    <w:uiPriority w:val="99"/>
    <w:semiHidden/>
    <w:unhideWhenUsed/>
    <w:pPr>
      <w:spacing w:after="0" w:line="240" w:lineRule="auto"/>
    </w:pPr>
    <w:rPr>
      <w:rFonts w:ascii="Times New Roman" w:hAnsi="Times New Roman" w:eastAsia="Times New Roman" w:cs="Times New Roman"/>
      <w:sz w:val="20"/>
      <w:szCs w:val="20"/>
      <w:color w:val="000000"/>
    </w:rPr>
  </w:style>
  <w:style w:type="character" w:styleId="FootnoteTextChar">
    <w:name w:val="Footnote Text Char"/>
    <w:basedOn w:val="DefaultParagraphFont"/>
    <w:link w:val="FootnoteText"/>
    <w:uiPriority w:val="99"/>
    <w:semiHidden/>
    <w:unhideWhenUsed/>
    <w:rPr>
      <w:rFonts w:ascii="Times New Roman" w:hAnsi="Times New Roman" w:eastAsia="Times New Roman" w:cs="Times New Roman"/>
      <w:sz w:val="20"/>
      <w:szCs w:val="20"/>
      <w:color w:val="000000"/>
    </w:rPr>
  </w:style>
  <w:style w:type="character" w:styleId="EndnoteReference">
    <w:name w:val="endnote reference"/>
    <w:basedOn w:val="DefaultParagraphFont"/>
    <w:uiPriority w:val="99"/>
    <w:semiHidden/>
    <w:unhideWhenUsed/>
    <w:rPr>
      <w:rFonts w:ascii="Times New Roman" w:hAnsi="Times New Roman" w:eastAsia="Times New Roman" w:cs="Times New Roman"/>
      <w:vertAlign w:val="superscript"/>
      <w:color w:val="000000"/>
    </w:rPr>
  </w:style>
  <w:style w:type="paragraph" w:styleId="EndnoteText">
    <w:name w:val="endnote text"/>
    <w:basedOn w:val="Normal"/>
    <w:link w:val="EndnoteTextChar"/>
    <w:uiPriority w:val="99"/>
    <w:semiHidden/>
    <w:unhideWhenUsed/>
    <w:pPr>
      <w:spacing w:after="0" w:line="240" w:lineRule="auto"/>
    </w:pPr>
    <w:rPr>
      <w:rFonts w:ascii="Times New Roman" w:hAnsi="Times New Roman" w:eastAsia="Times New Roman" w:cs="Times New Roman"/>
      <w:sz w:val="20"/>
      <w:szCs w:val="20"/>
      <w:color w:val="000000"/>
    </w:rPr>
  </w:style>
  <w:style w:type="character" w:styleId="EndnoteTextChar">
    <w:name w:val="Endnote Text Char"/>
    <w:basedOn w:val="DefaultParagraphFont"/>
    <w:link w:val="EndnoteText"/>
    <w:uiPriority w:val="99"/>
    <w:semiHidden/>
    <w:unhideWhenUsed/>
    <w:rPr>
      <w:rFonts w:ascii="Times New Roman" w:hAnsi="Times New Roman" w:eastAsia="Times New Roman" w:cs="Times New Roman"/>
      <w:sz w:val="20"/>
      <w:szCs w:val="20"/>
      <w:color w:val="000000"/>
    </w:rPr>
  </w:style>
  <w:style w:type="paragraph" w:default="1" w:styleId="Normal">
    <w:name w:val="Normal"/>
    <w:qFormat/>
    <w:rPr>
      <w:rFonts w:ascii="Times New Roman" w:hAnsi="Times New Roman" w:eastAsia="Times New Roman" w:cs="Times New Roman"/>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a7ea07da02931da5f9b362adc9916d5f9997d3.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2026-10-17T15:07:45.795Z</dcterms:created>
  <dcterms:modified xsi:type="dcterms:W3CDTF">2026-10-17T15:07:45.795Z</dcterms:modified>
</cp:coreProperties>
</file>

<file path=docProps/custom.xml><?xml version="1.0" encoding="utf-8"?>
<Properties xmlns="http://schemas.openxmlformats.org/officeDocument/2006/custom-properties" xmlns:vt="http://schemas.openxmlformats.org/officeDocument/2006/docPropsVTypes"/>
</file>