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4AD9" w14:textId="59EA14CF" w:rsidR="00421FEC" w:rsidRPr="00421FEC" w:rsidRDefault="00421FEC" w:rsidP="00421FEC">
      <w:pPr>
        <w:pStyle w:val="Title"/>
        <w:rPr>
          <w:rFonts w:asciiTheme="minorHAnsi" w:hAnsiTheme="minorHAnsi" w:cstheme="minorHAnsi"/>
          <w:b/>
          <w:bCs/>
        </w:rPr>
      </w:pPr>
      <w:r w:rsidRPr="00421FEC">
        <w:rPr>
          <w:rFonts w:asciiTheme="minorHAnsi" w:hAnsiTheme="minorHAnsi" w:cstheme="minorHAnsi"/>
          <w:b/>
          <w:bCs/>
        </w:rPr>
        <w:t>Quote Details and Agreement</w:t>
      </w:r>
    </w:p>
    <w:p w14:paraId="24AD938F" w14:textId="0B805D2C" w:rsidR="00421FEC" w:rsidRPr="00421FEC" w:rsidRDefault="00421FEC" w:rsidP="00421FEC">
      <w:pPr>
        <w:pStyle w:val="BodyText"/>
      </w:pPr>
      <w:r>
        <w:t>Please</w:t>
      </w:r>
      <w:r>
        <w:rPr>
          <w:spacing w:val="4"/>
        </w:rPr>
        <w:t xml:space="preserve"> </w:t>
      </w:r>
      <w:r>
        <w:t>find</w:t>
      </w:r>
      <w:r>
        <w:rPr>
          <w:spacing w:val="6"/>
        </w:rPr>
        <w:t xml:space="preserve"> </w:t>
      </w:r>
      <w:r>
        <w:t>your</w:t>
      </w:r>
      <w:r>
        <w:rPr>
          <w:spacing w:val="4"/>
        </w:rPr>
        <w:t xml:space="preserve"> </w:t>
      </w:r>
      <w:r>
        <w:t>quote</w:t>
      </w:r>
      <w:r>
        <w:rPr>
          <w:spacing w:val="6"/>
        </w:rPr>
        <w:t xml:space="preserve"> </w:t>
      </w:r>
      <w:r>
        <w:t>details</w:t>
      </w:r>
      <w:r>
        <w:rPr>
          <w:spacing w:val="5"/>
        </w:rPr>
        <w:t xml:space="preserve"> </w:t>
      </w:r>
      <w:r>
        <w:rPr>
          <w:spacing w:val="-2"/>
        </w:rPr>
        <w:t>below:</w:t>
      </w:r>
    </w:p>
    <w:p w14:paraId="32028907" w14:textId="6D529FF6" w:rsidR="00421FEC" w:rsidRDefault="00421FEC" w:rsidP="00421FEC">
      <w:pPr>
        <w:spacing w:before="197"/>
        <w:rPr>
          <w:sz w:val="19"/>
        </w:rPr>
      </w:pPr>
      <w:r>
        <w:rPr>
          <w:rFonts w:ascii="Arial"/>
          <w:b/>
          <w:sz w:val="19"/>
        </w:rPr>
        <w:t>Quote</w:t>
      </w:r>
      <w:r>
        <w:rPr>
          <w:rFonts w:ascii="Arial"/>
          <w:b/>
          <w:spacing w:val="9"/>
          <w:sz w:val="19"/>
        </w:rPr>
        <w:t xml:space="preserve"> </w:t>
      </w:r>
      <w:r>
        <w:rPr>
          <w:rFonts w:ascii="Arial"/>
          <w:b/>
          <w:sz w:val="19"/>
        </w:rPr>
        <w:t>ID:</w:t>
      </w:r>
      <w:r>
        <w:rPr>
          <w:rFonts w:ascii="Arial"/>
          <w:b/>
          <w:spacing w:val="11"/>
          <w:sz w:val="19"/>
        </w:rPr>
        <w:t xml:space="preserve"> </w:t>
      </w:r>
      <w:r w:rsidRPr="00421FEC">
        <w:rPr>
          <w:sz w:val="19"/>
        </w:rPr>
        <w:t>QUO-01741-Q8H5H2</w:t>
      </w:r>
    </w:p>
    <w:p w14:paraId="264F8E3D" w14:textId="5321F188" w:rsidR="00421FEC" w:rsidRDefault="00421FEC" w:rsidP="00421FEC">
      <w:pPr>
        <w:spacing w:before="193"/>
        <w:rPr>
          <w:sz w:val="19"/>
        </w:rPr>
      </w:pPr>
      <w:r>
        <w:rPr>
          <w:rFonts w:ascii="Arial"/>
          <w:b/>
          <w:sz w:val="19"/>
        </w:rPr>
        <w:t>Name:</w:t>
      </w:r>
      <w:r>
        <w:rPr>
          <w:rFonts w:ascii="Arial"/>
          <w:b/>
          <w:spacing w:val="6"/>
          <w:sz w:val="19"/>
        </w:rPr>
        <w:t xml:space="preserve"> </w:t>
      </w:r>
      <w:r w:rsidRPr="00421FEC">
        <w:rPr>
          <w:spacing w:val="-2"/>
          <w:sz w:val="19"/>
        </w:rPr>
        <w:t>10-Year Audit Log Retention Add-On – Compliance Solution</w:t>
      </w:r>
    </w:p>
    <w:p w14:paraId="55107295" w14:textId="77777777" w:rsidR="00421FEC" w:rsidRDefault="00421FEC" w:rsidP="00421FEC">
      <w:pPr>
        <w:pStyle w:val="BodyText"/>
        <w:spacing w:before="2" w:after="1"/>
        <w:rPr>
          <w:sz w:val="16"/>
        </w:rPr>
      </w:pPr>
    </w:p>
    <w:tbl>
      <w:tblPr>
        <w:tblW w:w="95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53"/>
        <w:gridCol w:w="1927"/>
        <w:gridCol w:w="3510"/>
        <w:gridCol w:w="1056"/>
        <w:gridCol w:w="1194"/>
      </w:tblGrid>
      <w:tr w:rsidR="00421FEC" w14:paraId="6BD7078F" w14:textId="77777777" w:rsidTr="00421FEC">
        <w:trPr>
          <w:trHeight w:val="229"/>
        </w:trPr>
        <w:tc>
          <w:tcPr>
            <w:tcW w:w="1853" w:type="dxa"/>
            <w:tcBorders>
              <w:bottom w:val="single" w:sz="12" w:space="0" w:color="000000"/>
              <w:right w:val="single" w:sz="12" w:space="0" w:color="000000"/>
            </w:tcBorders>
          </w:tcPr>
          <w:p w14:paraId="73088F59" w14:textId="77777777" w:rsidR="00421FEC" w:rsidRDefault="00421FEC" w:rsidP="00EA19CD">
            <w:pPr>
              <w:pStyle w:val="TableParagraph"/>
              <w:spacing w:before="11" w:line="198" w:lineRule="exact"/>
              <w:ind w:left="37" w:right="15"/>
              <w:rPr>
                <w:rFonts w:ascii="Arial"/>
                <w:b/>
                <w:sz w:val="19"/>
              </w:rPr>
            </w:pPr>
            <w:r>
              <w:rPr>
                <w:rFonts w:ascii="Arial"/>
                <w:b/>
                <w:sz w:val="19"/>
              </w:rPr>
              <w:t>Quote</w:t>
            </w:r>
            <w:r>
              <w:rPr>
                <w:rFonts w:ascii="Arial"/>
                <w:b/>
                <w:spacing w:val="4"/>
                <w:sz w:val="19"/>
              </w:rPr>
              <w:t xml:space="preserve"> </w:t>
            </w:r>
            <w:r>
              <w:rPr>
                <w:rFonts w:ascii="Arial"/>
                <w:b/>
                <w:sz w:val="19"/>
              </w:rPr>
              <w:t>Line</w:t>
            </w:r>
            <w:r>
              <w:rPr>
                <w:rFonts w:ascii="Arial"/>
                <w:b/>
                <w:spacing w:val="6"/>
                <w:sz w:val="19"/>
              </w:rPr>
              <w:t xml:space="preserve"> </w:t>
            </w:r>
            <w:r>
              <w:rPr>
                <w:rFonts w:ascii="Arial"/>
                <w:b/>
                <w:spacing w:val="-7"/>
                <w:sz w:val="19"/>
              </w:rPr>
              <w:t>ID</w:t>
            </w:r>
          </w:p>
        </w:tc>
        <w:tc>
          <w:tcPr>
            <w:tcW w:w="1927" w:type="dxa"/>
            <w:tcBorders>
              <w:left w:val="single" w:sz="12" w:space="0" w:color="000000"/>
              <w:bottom w:val="single" w:sz="12" w:space="0" w:color="000000"/>
              <w:right w:val="single" w:sz="12" w:space="0" w:color="000000"/>
            </w:tcBorders>
          </w:tcPr>
          <w:p w14:paraId="2A7045A4" w14:textId="77777777" w:rsidR="00421FEC" w:rsidRDefault="00421FEC" w:rsidP="00EA19CD">
            <w:pPr>
              <w:pStyle w:val="TableParagraph"/>
              <w:spacing w:before="11" w:line="198" w:lineRule="exact"/>
              <w:ind w:left="16"/>
              <w:rPr>
                <w:rFonts w:ascii="Arial"/>
                <w:b/>
                <w:sz w:val="19"/>
              </w:rPr>
            </w:pPr>
            <w:r>
              <w:rPr>
                <w:rFonts w:ascii="Arial"/>
                <w:b/>
                <w:sz w:val="19"/>
              </w:rPr>
              <w:t>Product</w:t>
            </w:r>
            <w:r>
              <w:rPr>
                <w:rFonts w:ascii="Arial"/>
                <w:b/>
                <w:spacing w:val="4"/>
                <w:sz w:val="19"/>
              </w:rPr>
              <w:t xml:space="preserve"> </w:t>
            </w:r>
            <w:r>
              <w:rPr>
                <w:rFonts w:ascii="Arial"/>
                <w:b/>
                <w:sz w:val="19"/>
              </w:rPr>
              <w:t>/</w:t>
            </w:r>
            <w:r>
              <w:rPr>
                <w:rFonts w:ascii="Arial"/>
                <w:b/>
                <w:spacing w:val="5"/>
                <w:sz w:val="19"/>
              </w:rPr>
              <w:t xml:space="preserve"> </w:t>
            </w:r>
            <w:r>
              <w:rPr>
                <w:rFonts w:ascii="Arial"/>
                <w:b/>
                <w:spacing w:val="-2"/>
                <w:sz w:val="19"/>
              </w:rPr>
              <w:t>Service</w:t>
            </w:r>
          </w:p>
        </w:tc>
        <w:tc>
          <w:tcPr>
            <w:tcW w:w="3510" w:type="dxa"/>
            <w:tcBorders>
              <w:left w:val="single" w:sz="12" w:space="0" w:color="000000"/>
              <w:bottom w:val="single" w:sz="12" w:space="0" w:color="000000"/>
              <w:right w:val="single" w:sz="12" w:space="0" w:color="000000"/>
            </w:tcBorders>
          </w:tcPr>
          <w:p w14:paraId="302C653E" w14:textId="77777777" w:rsidR="00421FEC" w:rsidRDefault="00421FEC" w:rsidP="00EA19CD">
            <w:pPr>
              <w:pStyle w:val="TableParagraph"/>
              <w:spacing w:before="11" w:line="198" w:lineRule="exact"/>
              <w:ind w:left="15"/>
              <w:rPr>
                <w:rFonts w:ascii="Arial"/>
                <w:b/>
                <w:sz w:val="19"/>
              </w:rPr>
            </w:pPr>
            <w:r>
              <w:rPr>
                <w:rFonts w:ascii="Arial"/>
                <w:b/>
                <w:sz w:val="19"/>
              </w:rPr>
              <w:t>Attribute</w:t>
            </w:r>
            <w:r>
              <w:rPr>
                <w:rFonts w:ascii="Arial"/>
                <w:b/>
                <w:spacing w:val="5"/>
                <w:sz w:val="19"/>
              </w:rPr>
              <w:t xml:space="preserve"> </w:t>
            </w:r>
            <w:r>
              <w:rPr>
                <w:rFonts w:ascii="Arial"/>
                <w:b/>
                <w:sz w:val="19"/>
              </w:rPr>
              <w:t>Category</w:t>
            </w:r>
            <w:r>
              <w:rPr>
                <w:rFonts w:ascii="Arial"/>
                <w:b/>
                <w:spacing w:val="7"/>
                <w:sz w:val="19"/>
              </w:rPr>
              <w:t xml:space="preserve"> </w:t>
            </w:r>
            <w:r>
              <w:rPr>
                <w:rFonts w:ascii="Arial"/>
                <w:b/>
                <w:sz w:val="19"/>
              </w:rPr>
              <w:t>-</w:t>
            </w:r>
            <w:r>
              <w:rPr>
                <w:rFonts w:ascii="Arial"/>
                <w:b/>
                <w:spacing w:val="6"/>
                <w:sz w:val="19"/>
              </w:rPr>
              <w:t xml:space="preserve"> </w:t>
            </w:r>
            <w:r>
              <w:rPr>
                <w:rFonts w:ascii="Arial"/>
                <w:b/>
                <w:spacing w:val="-4"/>
                <w:sz w:val="19"/>
              </w:rPr>
              <w:t>Name</w:t>
            </w:r>
          </w:p>
        </w:tc>
        <w:tc>
          <w:tcPr>
            <w:tcW w:w="1056" w:type="dxa"/>
            <w:tcBorders>
              <w:left w:val="single" w:sz="12" w:space="0" w:color="000000"/>
              <w:bottom w:val="single" w:sz="12" w:space="0" w:color="000000"/>
              <w:right w:val="single" w:sz="12" w:space="0" w:color="000000"/>
            </w:tcBorders>
          </w:tcPr>
          <w:p w14:paraId="3234CBFF" w14:textId="77777777" w:rsidR="00421FEC" w:rsidRDefault="00421FEC" w:rsidP="00EA19CD">
            <w:pPr>
              <w:pStyle w:val="TableParagraph"/>
              <w:spacing w:before="11" w:line="198" w:lineRule="exact"/>
              <w:ind w:left="13"/>
              <w:rPr>
                <w:rFonts w:ascii="Arial"/>
                <w:b/>
                <w:sz w:val="19"/>
              </w:rPr>
            </w:pPr>
            <w:r>
              <w:rPr>
                <w:rFonts w:ascii="Arial"/>
                <w:b/>
                <w:spacing w:val="-5"/>
                <w:sz w:val="19"/>
              </w:rPr>
              <w:t>Qty</w:t>
            </w:r>
          </w:p>
        </w:tc>
        <w:tc>
          <w:tcPr>
            <w:tcW w:w="1194" w:type="dxa"/>
            <w:tcBorders>
              <w:left w:val="single" w:sz="12" w:space="0" w:color="000000"/>
              <w:bottom w:val="single" w:sz="12" w:space="0" w:color="000000"/>
            </w:tcBorders>
          </w:tcPr>
          <w:p w14:paraId="2E82D2A0" w14:textId="77777777" w:rsidR="00421FEC" w:rsidRDefault="00421FEC" w:rsidP="00EA19CD">
            <w:pPr>
              <w:pStyle w:val="TableParagraph"/>
              <w:spacing w:before="11" w:line="198" w:lineRule="exact"/>
              <w:ind w:left="10" w:right="1"/>
              <w:rPr>
                <w:rFonts w:ascii="Arial"/>
                <w:b/>
                <w:sz w:val="19"/>
              </w:rPr>
            </w:pPr>
            <w:r>
              <w:rPr>
                <w:rFonts w:ascii="Arial"/>
                <w:b/>
                <w:sz w:val="19"/>
              </w:rPr>
              <w:t>Price</w:t>
            </w:r>
            <w:r>
              <w:rPr>
                <w:rFonts w:ascii="Arial"/>
                <w:b/>
                <w:spacing w:val="4"/>
                <w:sz w:val="19"/>
              </w:rPr>
              <w:t xml:space="preserve"> </w:t>
            </w:r>
            <w:r>
              <w:rPr>
                <w:rFonts w:ascii="Arial"/>
                <w:b/>
                <w:sz w:val="19"/>
              </w:rPr>
              <w:t>Per</w:t>
            </w:r>
            <w:r>
              <w:rPr>
                <w:rFonts w:ascii="Arial"/>
                <w:b/>
                <w:spacing w:val="5"/>
                <w:sz w:val="19"/>
              </w:rPr>
              <w:t xml:space="preserve"> </w:t>
            </w:r>
            <w:r>
              <w:rPr>
                <w:rFonts w:ascii="Arial"/>
                <w:b/>
                <w:spacing w:val="-4"/>
                <w:sz w:val="19"/>
              </w:rPr>
              <w:t>Unit</w:t>
            </w:r>
          </w:p>
        </w:tc>
      </w:tr>
      <w:tr w:rsidR="00421FEC" w14:paraId="26E7EE6D" w14:textId="77777777" w:rsidTr="00421FEC">
        <w:trPr>
          <w:trHeight w:val="224"/>
        </w:trPr>
        <w:tc>
          <w:tcPr>
            <w:tcW w:w="1853" w:type="dxa"/>
            <w:tcBorders>
              <w:top w:val="single" w:sz="12" w:space="0" w:color="000000"/>
              <w:bottom w:val="single" w:sz="12" w:space="0" w:color="000000"/>
              <w:right w:val="single" w:sz="12" w:space="0" w:color="000000"/>
            </w:tcBorders>
          </w:tcPr>
          <w:p w14:paraId="3349E512" w14:textId="77777777" w:rsidR="00421FEC" w:rsidRDefault="00421FEC" w:rsidP="00EA19CD">
            <w:pPr>
              <w:pStyle w:val="TableParagraph"/>
              <w:spacing w:before="6" w:line="198" w:lineRule="exact"/>
              <w:ind w:left="37" w:right="15"/>
              <w:rPr>
                <w:sz w:val="19"/>
              </w:rPr>
            </w:pPr>
            <w:r>
              <w:rPr>
                <w:sz w:val="19"/>
              </w:rPr>
              <w:t>QUO-02235-</w:t>
            </w:r>
            <w:r>
              <w:rPr>
                <w:spacing w:val="-2"/>
                <w:sz w:val="19"/>
              </w:rPr>
              <w:t>R7C6X1</w:t>
            </w:r>
          </w:p>
        </w:tc>
        <w:tc>
          <w:tcPr>
            <w:tcW w:w="1927" w:type="dxa"/>
            <w:tcBorders>
              <w:top w:val="single" w:sz="12" w:space="0" w:color="000000"/>
              <w:left w:val="single" w:sz="12" w:space="0" w:color="000000"/>
              <w:bottom w:val="single" w:sz="12" w:space="0" w:color="000000"/>
              <w:right w:val="single" w:sz="12" w:space="0" w:color="000000"/>
            </w:tcBorders>
          </w:tcPr>
          <w:p w14:paraId="34E5C193" w14:textId="2611C0A0" w:rsidR="00421FEC" w:rsidRDefault="00421FEC" w:rsidP="00EA19CD">
            <w:pPr>
              <w:pStyle w:val="TableParagraph"/>
              <w:spacing w:before="6" w:line="198" w:lineRule="exact"/>
              <w:ind w:left="16"/>
              <w:rPr>
                <w:sz w:val="19"/>
              </w:rPr>
            </w:pPr>
            <w:r>
              <w:rPr>
                <w:sz w:val="19"/>
              </w:rPr>
              <w:t>1—Year Log Retention Add-On</w:t>
            </w:r>
          </w:p>
        </w:tc>
        <w:tc>
          <w:tcPr>
            <w:tcW w:w="3510" w:type="dxa"/>
            <w:tcBorders>
              <w:top w:val="single" w:sz="12" w:space="0" w:color="000000"/>
              <w:left w:val="single" w:sz="12" w:space="0" w:color="000000"/>
              <w:bottom w:val="single" w:sz="12" w:space="0" w:color="000000"/>
              <w:right w:val="single" w:sz="12" w:space="0" w:color="000000"/>
            </w:tcBorders>
          </w:tcPr>
          <w:p w14:paraId="6D3FFCAA" w14:textId="77777777" w:rsidR="00421FEC" w:rsidRDefault="00421FEC" w:rsidP="00EA19CD">
            <w:pPr>
              <w:pStyle w:val="TableParagraph"/>
              <w:jc w:val="left"/>
              <w:rPr>
                <w:rFonts w:ascii="Times New Roman"/>
                <w:sz w:val="16"/>
              </w:rPr>
            </w:pPr>
          </w:p>
        </w:tc>
        <w:tc>
          <w:tcPr>
            <w:tcW w:w="1056" w:type="dxa"/>
            <w:tcBorders>
              <w:top w:val="single" w:sz="12" w:space="0" w:color="000000"/>
              <w:left w:val="single" w:sz="12" w:space="0" w:color="000000"/>
              <w:bottom w:val="single" w:sz="12" w:space="0" w:color="000000"/>
              <w:right w:val="single" w:sz="12" w:space="0" w:color="000000"/>
            </w:tcBorders>
          </w:tcPr>
          <w:p w14:paraId="4ACD04E9" w14:textId="77777777" w:rsidR="00421FEC" w:rsidRDefault="00421FEC" w:rsidP="00EA19CD">
            <w:pPr>
              <w:pStyle w:val="TableParagraph"/>
              <w:jc w:val="left"/>
              <w:rPr>
                <w:rFonts w:ascii="Times New Roman"/>
                <w:sz w:val="16"/>
              </w:rPr>
            </w:pPr>
          </w:p>
        </w:tc>
        <w:tc>
          <w:tcPr>
            <w:tcW w:w="1194" w:type="dxa"/>
            <w:tcBorders>
              <w:top w:val="single" w:sz="12" w:space="0" w:color="000000"/>
              <w:left w:val="single" w:sz="12" w:space="0" w:color="000000"/>
              <w:bottom w:val="single" w:sz="12" w:space="0" w:color="000000"/>
            </w:tcBorders>
          </w:tcPr>
          <w:p w14:paraId="364241ED" w14:textId="77777777" w:rsidR="00421FEC" w:rsidRDefault="00421FEC" w:rsidP="00EA19CD">
            <w:pPr>
              <w:pStyle w:val="TableParagraph"/>
              <w:spacing w:before="6" w:line="198" w:lineRule="exact"/>
              <w:ind w:left="10"/>
              <w:rPr>
                <w:sz w:val="19"/>
              </w:rPr>
            </w:pPr>
            <w:r>
              <w:rPr>
                <w:spacing w:val="-5"/>
                <w:sz w:val="19"/>
              </w:rPr>
              <w:t>$25</w:t>
            </w:r>
          </w:p>
        </w:tc>
      </w:tr>
      <w:tr w:rsidR="00421FEC" w14:paraId="48842FE3" w14:textId="77777777" w:rsidTr="00421FEC">
        <w:trPr>
          <w:trHeight w:val="224"/>
        </w:trPr>
        <w:tc>
          <w:tcPr>
            <w:tcW w:w="1853" w:type="dxa"/>
            <w:tcBorders>
              <w:top w:val="single" w:sz="12" w:space="0" w:color="000000"/>
              <w:bottom w:val="single" w:sz="12" w:space="0" w:color="000000"/>
              <w:right w:val="single" w:sz="12" w:space="0" w:color="000000"/>
            </w:tcBorders>
          </w:tcPr>
          <w:p w14:paraId="2AB29075" w14:textId="77777777" w:rsidR="00421FEC" w:rsidRDefault="00421FEC" w:rsidP="00EA19CD">
            <w:pPr>
              <w:pStyle w:val="TableParagraph"/>
              <w:jc w:val="left"/>
              <w:rPr>
                <w:rFonts w:ascii="Times New Roman"/>
                <w:sz w:val="16"/>
              </w:rPr>
            </w:pPr>
          </w:p>
        </w:tc>
        <w:tc>
          <w:tcPr>
            <w:tcW w:w="1927" w:type="dxa"/>
            <w:tcBorders>
              <w:top w:val="single" w:sz="12" w:space="0" w:color="000000"/>
              <w:left w:val="single" w:sz="12" w:space="0" w:color="000000"/>
              <w:bottom w:val="single" w:sz="12" w:space="0" w:color="000000"/>
              <w:right w:val="single" w:sz="12" w:space="0" w:color="000000"/>
            </w:tcBorders>
          </w:tcPr>
          <w:p w14:paraId="1F5CAF93" w14:textId="77777777" w:rsidR="00421FEC" w:rsidRDefault="00421FEC" w:rsidP="00EA19CD">
            <w:pPr>
              <w:pStyle w:val="TableParagraph"/>
              <w:jc w:val="left"/>
              <w:rPr>
                <w:rFonts w:ascii="Times New Roman"/>
                <w:sz w:val="16"/>
              </w:rPr>
            </w:pPr>
          </w:p>
        </w:tc>
        <w:tc>
          <w:tcPr>
            <w:tcW w:w="3510" w:type="dxa"/>
            <w:tcBorders>
              <w:top w:val="single" w:sz="12" w:space="0" w:color="000000"/>
              <w:left w:val="single" w:sz="12" w:space="0" w:color="000000"/>
              <w:bottom w:val="single" w:sz="12" w:space="0" w:color="000000"/>
              <w:right w:val="single" w:sz="12" w:space="0" w:color="000000"/>
            </w:tcBorders>
          </w:tcPr>
          <w:p w14:paraId="41C8506D" w14:textId="77777777" w:rsidR="00421FEC" w:rsidRDefault="00421FEC" w:rsidP="00EA19CD">
            <w:pPr>
              <w:pStyle w:val="TableParagraph"/>
              <w:spacing w:before="6" w:line="198" w:lineRule="exact"/>
              <w:ind w:left="15"/>
              <w:rPr>
                <w:sz w:val="19"/>
              </w:rPr>
            </w:pPr>
            <w:r>
              <w:rPr>
                <w:sz w:val="19"/>
              </w:rPr>
              <w:t>Cap</w:t>
            </w:r>
            <w:r>
              <w:rPr>
                <w:spacing w:val="4"/>
                <w:sz w:val="19"/>
              </w:rPr>
              <w:t xml:space="preserve"> </w:t>
            </w:r>
            <w:r>
              <w:rPr>
                <w:sz w:val="19"/>
              </w:rPr>
              <w:t>Design</w:t>
            </w:r>
            <w:r>
              <w:rPr>
                <w:spacing w:val="3"/>
                <w:sz w:val="19"/>
              </w:rPr>
              <w:t xml:space="preserve"> </w:t>
            </w:r>
            <w:r>
              <w:rPr>
                <w:sz w:val="19"/>
              </w:rPr>
              <w:t>-</w:t>
            </w:r>
            <w:r>
              <w:rPr>
                <w:spacing w:val="4"/>
                <w:sz w:val="19"/>
              </w:rPr>
              <w:t xml:space="preserve"> </w:t>
            </w:r>
            <w:r>
              <w:rPr>
                <w:sz w:val="19"/>
              </w:rPr>
              <w:t>Flex</w:t>
            </w:r>
            <w:r>
              <w:rPr>
                <w:spacing w:val="4"/>
                <w:sz w:val="19"/>
              </w:rPr>
              <w:t xml:space="preserve"> </w:t>
            </w:r>
            <w:r>
              <w:rPr>
                <w:spacing w:val="-2"/>
                <w:sz w:val="19"/>
              </w:rPr>
              <w:t>Straw</w:t>
            </w:r>
          </w:p>
        </w:tc>
        <w:tc>
          <w:tcPr>
            <w:tcW w:w="1056" w:type="dxa"/>
            <w:tcBorders>
              <w:top w:val="single" w:sz="12" w:space="0" w:color="000000"/>
              <w:left w:val="single" w:sz="12" w:space="0" w:color="000000"/>
              <w:bottom w:val="single" w:sz="12" w:space="0" w:color="000000"/>
              <w:right w:val="single" w:sz="12" w:space="0" w:color="000000"/>
            </w:tcBorders>
          </w:tcPr>
          <w:p w14:paraId="3CC23E03" w14:textId="77777777" w:rsidR="00421FEC" w:rsidRDefault="00421FEC" w:rsidP="00EA19CD">
            <w:pPr>
              <w:pStyle w:val="TableParagraph"/>
              <w:jc w:val="left"/>
              <w:rPr>
                <w:rFonts w:ascii="Times New Roman"/>
                <w:sz w:val="16"/>
              </w:rPr>
            </w:pPr>
          </w:p>
        </w:tc>
        <w:tc>
          <w:tcPr>
            <w:tcW w:w="1194" w:type="dxa"/>
            <w:tcBorders>
              <w:top w:val="single" w:sz="12" w:space="0" w:color="000000"/>
              <w:left w:val="single" w:sz="12" w:space="0" w:color="000000"/>
              <w:bottom w:val="single" w:sz="12" w:space="0" w:color="000000"/>
            </w:tcBorders>
          </w:tcPr>
          <w:p w14:paraId="02D1DFD2" w14:textId="77777777" w:rsidR="00421FEC" w:rsidRDefault="00421FEC" w:rsidP="00EA19CD">
            <w:pPr>
              <w:pStyle w:val="TableParagraph"/>
              <w:spacing w:before="6" w:line="198" w:lineRule="exact"/>
              <w:ind w:left="10"/>
              <w:rPr>
                <w:sz w:val="19"/>
              </w:rPr>
            </w:pPr>
            <w:r>
              <w:rPr>
                <w:spacing w:val="-5"/>
                <w:sz w:val="19"/>
              </w:rPr>
              <w:t>$10</w:t>
            </w:r>
          </w:p>
        </w:tc>
      </w:tr>
      <w:tr w:rsidR="00421FEC" w14:paraId="4BAB41DB" w14:textId="77777777" w:rsidTr="00421FEC">
        <w:trPr>
          <w:trHeight w:val="224"/>
        </w:trPr>
        <w:tc>
          <w:tcPr>
            <w:tcW w:w="1853" w:type="dxa"/>
            <w:tcBorders>
              <w:top w:val="single" w:sz="12" w:space="0" w:color="000000"/>
              <w:bottom w:val="single" w:sz="12" w:space="0" w:color="000000"/>
              <w:right w:val="single" w:sz="12" w:space="0" w:color="000000"/>
            </w:tcBorders>
          </w:tcPr>
          <w:p w14:paraId="122E04F1" w14:textId="77777777" w:rsidR="00421FEC" w:rsidRDefault="00421FEC" w:rsidP="00EA19CD">
            <w:pPr>
              <w:pStyle w:val="TableParagraph"/>
              <w:jc w:val="left"/>
              <w:rPr>
                <w:rFonts w:ascii="Times New Roman"/>
                <w:sz w:val="16"/>
              </w:rPr>
            </w:pPr>
          </w:p>
        </w:tc>
        <w:tc>
          <w:tcPr>
            <w:tcW w:w="1927" w:type="dxa"/>
            <w:tcBorders>
              <w:top w:val="single" w:sz="12" w:space="0" w:color="000000"/>
              <w:left w:val="single" w:sz="12" w:space="0" w:color="000000"/>
              <w:bottom w:val="single" w:sz="12" w:space="0" w:color="000000"/>
              <w:right w:val="single" w:sz="12" w:space="0" w:color="000000"/>
            </w:tcBorders>
          </w:tcPr>
          <w:p w14:paraId="0A804422" w14:textId="77777777" w:rsidR="00421FEC" w:rsidRDefault="00421FEC" w:rsidP="00EA19CD">
            <w:pPr>
              <w:pStyle w:val="TableParagraph"/>
              <w:jc w:val="left"/>
              <w:rPr>
                <w:rFonts w:ascii="Times New Roman"/>
                <w:sz w:val="16"/>
              </w:rPr>
            </w:pPr>
          </w:p>
        </w:tc>
        <w:tc>
          <w:tcPr>
            <w:tcW w:w="3510" w:type="dxa"/>
            <w:tcBorders>
              <w:top w:val="single" w:sz="12" w:space="0" w:color="000000"/>
              <w:left w:val="single" w:sz="12" w:space="0" w:color="000000"/>
              <w:bottom w:val="single" w:sz="12" w:space="0" w:color="000000"/>
              <w:right w:val="single" w:sz="12" w:space="0" w:color="000000"/>
            </w:tcBorders>
          </w:tcPr>
          <w:p w14:paraId="75C270C4" w14:textId="77777777" w:rsidR="00421FEC" w:rsidRDefault="00421FEC" w:rsidP="00EA19CD">
            <w:pPr>
              <w:pStyle w:val="TableParagraph"/>
              <w:spacing w:before="6" w:line="198" w:lineRule="exact"/>
              <w:ind w:left="15"/>
              <w:rPr>
                <w:sz w:val="19"/>
              </w:rPr>
            </w:pPr>
            <w:r>
              <w:rPr>
                <w:sz w:val="19"/>
              </w:rPr>
              <w:t>Color</w:t>
            </w:r>
            <w:r>
              <w:rPr>
                <w:spacing w:val="2"/>
                <w:sz w:val="19"/>
              </w:rPr>
              <w:t xml:space="preserve"> </w:t>
            </w:r>
            <w:r>
              <w:rPr>
                <w:sz w:val="19"/>
              </w:rPr>
              <w:t>-</w:t>
            </w:r>
            <w:r>
              <w:rPr>
                <w:spacing w:val="4"/>
                <w:sz w:val="19"/>
              </w:rPr>
              <w:t xml:space="preserve"> </w:t>
            </w:r>
            <w:r>
              <w:rPr>
                <w:spacing w:val="-2"/>
                <w:sz w:val="19"/>
              </w:rPr>
              <w:t>Black</w:t>
            </w:r>
          </w:p>
        </w:tc>
        <w:tc>
          <w:tcPr>
            <w:tcW w:w="1056" w:type="dxa"/>
            <w:tcBorders>
              <w:top w:val="single" w:sz="12" w:space="0" w:color="000000"/>
              <w:left w:val="single" w:sz="12" w:space="0" w:color="000000"/>
              <w:bottom w:val="single" w:sz="12" w:space="0" w:color="000000"/>
              <w:right w:val="single" w:sz="12" w:space="0" w:color="000000"/>
            </w:tcBorders>
          </w:tcPr>
          <w:p w14:paraId="3F6CF3AF" w14:textId="77777777" w:rsidR="00421FEC" w:rsidRDefault="00421FEC" w:rsidP="00EA19CD">
            <w:pPr>
              <w:pStyle w:val="TableParagraph"/>
              <w:jc w:val="left"/>
              <w:rPr>
                <w:rFonts w:ascii="Times New Roman"/>
                <w:sz w:val="16"/>
              </w:rPr>
            </w:pPr>
          </w:p>
        </w:tc>
        <w:tc>
          <w:tcPr>
            <w:tcW w:w="1194" w:type="dxa"/>
            <w:tcBorders>
              <w:top w:val="single" w:sz="12" w:space="0" w:color="000000"/>
              <w:left w:val="single" w:sz="12" w:space="0" w:color="000000"/>
              <w:bottom w:val="single" w:sz="12" w:space="0" w:color="000000"/>
            </w:tcBorders>
          </w:tcPr>
          <w:p w14:paraId="51CD4A61" w14:textId="77777777" w:rsidR="00421FEC" w:rsidRDefault="00421FEC" w:rsidP="00EA19CD">
            <w:pPr>
              <w:pStyle w:val="TableParagraph"/>
              <w:spacing w:before="6" w:line="198" w:lineRule="exact"/>
              <w:ind w:left="10" w:right="1"/>
              <w:rPr>
                <w:sz w:val="19"/>
              </w:rPr>
            </w:pPr>
            <w:r>
              <w:rPr>
                <w:spacing w:val="-5"/>
                <w:sz w:val="19"/>
              </w:rPr>
              <w:t>$0</w:t>
            </w:r>
          </w:p>
        </w:tc>
      </w:tr>
      <w:tr w:rsidR="00421FEC" w14:paraId="5E94C08E" w14:textId="77777777" w:rsidTr="00421FEC">
        <w:trPr>
          <w:trHeight w:val="224"/>
        </w:trPr>
        <w:tc>
          <w:tcPr>
            <w:tcW w:w="1853" w:type="dxa"/>
            <w:tcBorders>
              <w:top w:val="single" w:sz="12" w:space="0" w:color="000000"/>
              <w:bottom w:val="single" w:sz="12" w:space="0" w:color="000000"/>
              <w:right w:val="single" w:sz="12" w:space="0" w:color="000000"/>
            </w:tcBorders>
          </w:tcPr>
          <w:p w14:paraId="040A4781" w14:textId="77777777" w:rsidR="00421FEC" w:rsidRDefault="00421FEC" w:rsidP="00EA19CD">
            <w:pPr>
              <w:pStyle w:val="TableParagraph"/>
              <w:jc w:val="left"/>
              <w:rPr>
                <w:rFonts w:ascii="Times New Roman"/>
                <w:sz w:val="16"/>
              </w:rPr>
            </w:pPr>
          </w:p>
        </w:tc>
        <w:tc>
          <w:tcPr>
            <w:tcW w:w="1927" w:type="dxa"/>
            <w:tcBorders>
              <w:top w:val="single" w:sz="12" w:space="0" w:color="000000"/>
              <w:left w:val="single" w:sz="12" w:space="0" w:color="000000"/>
              <w:bottom w:val="single" w:sz="12" w:space="0" w:color="000000"/>
              <w:right w:val="single" w:sz="12" w:space="0" w:color="000000"/>
            </w:tcBorders>
          </w:tcPr>
          <w:p w14:paraId="1965C448" w14:textId="77777777" w:rsidR="00421FEC" w:rsidRDefault="00421FEC" w:rsidP="00EA19CD">
            <w:pPr>
              <w:pStyle w:val="TableParagraph"/>
              <w:jc w:val="left"/>
              <w:rPr>
                <w:rFonts w:ascii="Times New Roman"/>
                <w:sz w:val="16"/>
              </w:rPr>
            </w:pPr>
          </w:p>
        </w:tc>
        <w:tc>
          <w:tcPr>
            <w:tcW w:w="3510" w:type="dxa"/>
            <w:tcBorders>
              <w:top w:val="single" w:sz="12" w:space="0" w:color="000000"/>
              <w:left w:val="single" w:sz="12" w:space="0" w:color="000000"/>
              <w:bottom w:val="single" w:sz="12" w:space="0" w:color="000000"/>
              <w:right w:val="single" w:sz="12" w:space="0" w:color="000000"/>
            </w:tcBorders>
          </w:tcPr>
          <w:p w14:paraId="7027BC45" w14:textId="77777777" w:rsidR="00421FEC" w:rsidRDefault="00421FEC" w:rsidP="00EA19CD">
            <w:pPr>
              <w:pStyle w:val="TableParagraph"/>
              <w:spacing w:before="6" w:line="198" w:lineRule="exact"/>
              <w:ind w:left="15"/>
              <w:rPr>
                <w:sz w:val="19"/>
              </w:rPr>
            </w:pPr>
            <w:r>
              <w:rPr>
                <w:sz w:val="19"/>
              </w:rPr>
              <w:t>Color</w:t>
            </w:r>
            <w:r>
              <w:rPr>
                <w:spacing w:val="2"/>
                <w:sz w:val="19"/>
              </w:rPr>
              <w:t xml:space="preserve"> </w:t>
            </w:r>
            <w:r>
              <w:rPr>
                <w:sz w:val="19"/>
              </w:rPr>
              <w:t>-</w:t>
            </w:r>
            <w:r>
              <w:rPr>
                <w:spacing w:val="4"/>
                <w:sz w:val="19"/>
              </w:rPr>
              <w:t xml:space="preserve"> </w:t>
            </w:r>
            <w:r>
              <w:rPr>
                <w:spacing w:val="-2"/>
                <w:sz w:val="19"/>
              </w:rPr>
              <w:t>Black</w:t>
            </w:r>
          </w:p>
        </w:tc>
        <w:tc>
          <w:tcPr>
            <w:tcW w:w="1056" w:type="dxa"/>
            <w:tcBorders>
              <w:top w:val="single" w:sz="12" w:space="0" w:color="000000"/>
              <w:left w:val="single" w:sz="12" w:space="0" w:color="000000"/>
              <w:bottom w:val="single" w:sz="12" w:space="0" w:color="000000"/>
              <w:right w:val="single" w:sz="12" w:space="0" w:color="000000"/>
            </w:tcBorders>
          </w:tcPr>
          <w:p w14:paraId="3F6E9329" w14:textId="77777777" w:rsidR="00421FEC" w:rsidRDefault="00421FEC" w:rsidP="00EA19CD">
            <w:pPr>
              <w:pStyle w:val="TableParagraph"/>
              <w:jc w:val="left"/>
              <w:rPr>
                <w:rFonts w:ascii="Times New Roman"/>
                <w:sz w:val="16"/>
              </w:rPr>
            </w:pPr>
          </w:p>
        </w:tc>
        <w:tc>
          <w:tcPr>
            <w:tcW w:w="1194" w:type="dxa"/>
            <w:tcBorders>
              <w:top w:val="single" w:sz="12" w:space="0" w:color="000000"/>
              <w:left w:val="single" w:sz="12" w:space="0" w:color="000000"/>
              <w:bottom w:val="single" w:sz="12" w:space="0" w:color="000000"/>
            </w:tcBorders>
          </w:tcPr>
          <w:p w14:paraId="10105B8C" w14:textId="77777777" w:rsidR="00421FEC" w:rsidRDefault="00421FEC" w:rsidP="00EA19CD">
            <w:pPr>
              <w:pStyle w:val="TableParagraph"/>
              <w:spacing w:before="6" w:line="198" w:lineRule="exact"/>
              <w:ind w:left="10" w:right="1"/>
              <w:rPr>
                <w:sz w:val="19"/>
              </w:rPr>
            </w:pPr>
            <w:r>
              <w:rPr>
                <w:spacing w:val="-5"/>
                <w:sz w:val="19"/>
              </w:rPr>
              <w:t>$0</w:t>
            </w:r>
          </w:p>
        </w:tc>
      </w:tr>
      <w:tr w:rsidR="00421FEC" w14:paraId="5459AC49" w14:textId="77777777" w:rsidTr="00421FEC">
        <w:trPr>
          <w:trHeight w:val="224"/>
        </w:trPr>
        <w:tc>
          <w:tcPr>
            <w:tcW w:w="1853" w:type="dxa"/>
            <w:tcBorders>
              <w:top w:val="single" w:sz="12" w:space="0" w:color="000000"/>
              <w:bottom w:val="single" w:sz="12" w:space="0" w:color="000000"/>
              <w:right w:val="single" w:sz="12" w:space="0" w:color="000000"/>
            </w:tcBorders>
          </w:tcPr>
          <w:p w14:paraId="0BABF85B" w14:textId="77777777" w:rsidR="00421FEC" w:rsidRDefault="00421FEC" w:rsidP="00EA19CD">
            <w:pPr>
              <w:pStyle w:val="TableParagraph"/>
              <w:jc w:val="left"/>
              <w:rPr>
                <w:rFonts w:ascii="Times New Roman"/>
                <w:sz w:val="16"/>
              </w:rPr>
            </w:pPr>
          </w:p>
        </w:tc>
        <w:tc>
          <w:tcPr>
            <w:tcW w:w="1927" w:type="dxa"/>
            <w:tcBorders>
              <w:top w:val="single" w:sz="12" w:space="0" w:color="000000"/>
              <w:left w:val="single" w:sz="12" w:space="0" w:color="000000"/>
              <w:bottom w:val="single" w:sz="12" w:space="0" w:color="000000"/>
              <w:right w:val="single" w:sz="12" w:space="0" w:color="000000"/>
            </w:tcBorders>
          </w:tcPr>
          <w:p w14:paraId="5F637CB2" w14:textId="77777777" w:rsidR="00421FEC" w:rsidRDefault="00421FEC" w:rsidP="00EA19CD">
            <w:pPr>
              <w:pStyle w:val="TableParagraph"/>
              <w:jc w:val="left"/>
              <w:rPr>
                <w:rFonts w:ascii="Times New Roman"/>
                <w:sz w:val="16"/>
              </w:rPr>
            </w:pPr>
          </w:p>
        </w:tc>
        <w:tc>
          <w:tcPr>
            <w:tcW w:w="3510" w:type="dxa"/>
            <w:tcBorders>
              <w:top w:val="single" w:sz="12" w:space="0" w:color="000000"/>
              <w:left w:val="single" w:sz="12" w:space="0" w:color="000000"/>
              <w:bottom w:val="single" w:sz="12" w:space="0" w:color="000000"/>
              <w:right w:val="single" w:sz="12" w:space="0" w:color="000000"/>
            </w:tcBorders>
          </w:tcPr>
          <w:p w14:paraId="06B39701" w14:textId="77777777" w:rsidR="00421FEC" w:rsidRDefault="00421FEC" w:rsidP="00EA19CD">
            <w:pPr>
              <w:pStyle w:val="TableParagraph"/>
              <w:spacing w:before="6" w:line="198" w:lineRule="exact"/>
              <w:ind w:left="15"/>
              <w:rPr>
                <w:sz w:val="19"/>
              </w:rPr>
            </w:pPr>
            <w:r>
              <w:rPr>
                <w:sz w:val="19"/>
              </w:rPr>
              <w:t>Processor</w:t>
            </w:r>
            <w:r>
              <w:rPr>
                <w:spacing w:val="5"/>
                <w:sz w:val="19"/>
              </w:rPr>
              <w:t xml:space="preserve"> </w:t>
            </w:r>
            <w:r>
              <w:rPr>
                <w:sz w:val="19"/>
              </w:rPr>
              <w:t>-</w:t>
            </w:r>
            <w:r>
              <w:rPr>
                <w:spacing w:val="5"/>
                <w:sz w:val="19"/>
              </w:rPr>
              <w:t xml:space="preserve"> </w:t>
            </w:r>
            <w:r>
              <w:rPr>
                <w:spacing w:val="-7"/>
                <w:sz w:val="19"/>
              </w:rPr>
              <w:t>M1</w:t>
            </w:r>
          </w:p>
        </w:tc>
        <w:tc>
          <w:tcPr>
            <w:tcW w:w="1056" w:type="dxa"/>
            <w:tcBorders>
              <w:top w:val="single" w:sz="12" w:space="0" w:color="000000"/>
              <w:left w:val="single" w:sz="12" w:space="0" w:color="000000"/>
              <w:bottom w:val="single" w:sz="12" w:space="0" w:color="000000"/>
              <w:right w:val="single" w:sz="12" w:space="0" w:color="000000"/>
            </w:tcBorders>
          </w:tcPr>
          <w:p w14:paraId="32B4A8C7" w14:textId="77777777" w:rsidR="00421FEC" w:rsidRDefault="00421FEC" w:rsidP="00EA19CD">
            <w:pPr>
              <w:pStyle w:val="TableParagraph"/>
              <w:jc w:val="left"/>
              <w:rPr>
                <w:rFonts w:ascii="Times New Roman"/>
                <w:sz w:val="16"/>
              </w:rPr>
            </w:pPr>
          </w:p>
        </w:tc>
        <w:tc>
          <w:tcPr>
            <w:tcW w:w="1194" w:type="dxa"/>
            <w:tcBorders>
              <w:top w:val="single" w:sz="12" w:space="0" w:color="000000"/>
              <w:left w:val="single" w:sz="12" w:space="0" w:color="000000"/>
              <w:bottom w:val="single" w:sz="12" w:space="0" w:color="000000"/>
            </w:tcBorders>
          </w:tcPr>
          <w:p w14:paraId="57BBA299" w14:textId="77777777" w:rsidR="00421FEC" w:rsidRDefault="00421FEC" w:rsidP="00EA19CD">
            <w:pPr>
              <w:pStyle w:val="TableParagraph"/>
              <w:spacing w:before="6" w:line="198" w:lineRule="exact"/>
              <w:ind w:left="10" w:right="1"/>
              <w:rPr>
                <w:sz w:val="19"/>
              </w:rPr>
            </w:pPr>
            <w:r>
              <w:rPr>
                <w:spacing w:val="-5"/>
                <w:sz w:val="19"/>
              </w:rPr>
              <w:t>$0</w:t>
            </w:r>
          </w:p>
        </w:tc>
      </w:tr>
      <w:tr w:rsidR="00421FEC" w14:paraId="5F986230" w14:textId="77777777" w:rsidTr="00421FEC">
        <w:trPr>
          <w:trHeight w:val="224"/>
        </w:trPr>
        <w:tc>
          <w:tcPr>
            <w:tcW w:w="1853" w:type="dxa"/>
            <w:tcBorders>
              <w:top w:val="single" w:sz="12" w:space="0" w:color="000000"/>
              <w:bottom w:val="single" w:sz="12" w:space="0" w:color="000000"/>
              <w:right w:val="single" w:sz="12" w:space="0" w:color="000000"/>
            </w:tcBorders>
          </w:tcPr>
          <w:p w14:paraId="0F334B28" w14:textId="77777777" w:rsidR="00421FEC" w:rsidRDefault="00421FEC" w:rsidP="00EA19CD">
            <w:pPr>
              <w:pStyle w:val="TableParagraph"/>
              <w:jc w:val="left"/>
              <w:rPr>
                <w:rFonts w:ascii="Times New Roman"/>
                <w:sz w:val="16"/>
              </w:rPr>
            </w:pPr>
          </w:p>
        </w:tc>
        <w:tc>
          <w:tcPr>
            <w:tcW w:w="1927" w:type="dxa"/>
            <w:tcBorders>
              <w:top w:val="single" w:sz="12" w:space="0" w:color="000000"/>
              <w:left w:val="single" w:sz="12" w:space="0" w:color="000000"/>
              <w:bottom w:val="single" w:sz="12" w:space="0" w:color="000000"/>
              <w:right w:val="single" w:sz="12" w:space="0" w:color="000000"/>
            </w:tcBorders>
          </w:tcPr>
          <w:p w14:paraId="3DD700D1" w14:textId="77777777" w:rsidR="00421FEC" w:rsidRDefault="00421FEC" w:rsidP="00EA19CD">
            <w:pPr>
              <w:pStyle w:val="TableParagraph"/>
              <w:jc w:val="left"/>
              <w:rPr>
                <w:rFonts w:ascii="Times New Roman"/>
                <w:sz w:val="16"/>
              </w:rPr>
            </w:pPr>
          </w:p>
        </w:tc>
        <w:tc>
          <w:tcPr>
            <w:tcW w:w="3510" w:type="dxa"/>
            <w:tcBorders>
              <w:top w:val="single" w:sz="12" w:space="0" w:color="000000"/>
              <w:left w:val="single" w:sz="12" w:space="0" w:color="000000"/>
              <w:bottom w:val="single" w:sz="12" w:space="0" w:color="000000"/>
              <w:right w:val="single" w:sz="12" w:space="0" w:color="000000"/>
            </w:tcBorders>
          </w:tcPr>
          <w:p w14:paraId="7C47301B" w14:textId="12178B47" w:rsidR="00421FEC" w:rsidRDefault="00421FEC" w:rsidP="00EA19CD">
            <w:pPr>
              <w:pStyle w:val="TableParagraph"/>
              <w:spacing w:before="6" w:line="198" w:lineRule="exact"/>
              <w:ind w:left="15"/>
              <w:rPr>
                <w:sz w:val="19"/>
              </w:rPr>
            </w:pPr>
          </w:p>
        </w:tc>
        <w:tc>
          <w:tcPr>
            <w:tcW w:w="1056" w:type="dxa"/>
            <w:tcBorders>
              <w:top w:val="single" w:sz="12" w:space="0" w:color="000000"/>
              <w:left w:val="single" w:sz="12" w:space="0" w:color="000000"/>
              <w:bottom w:val="single" w:sz="12" w:space="0" w:color="000000"/>
              <w:right w:val="single" w:sz="12" w:space="0" w:color="000000"/>
            </w:tcBorders>
          </w:tcPr>
          <w:p w14:paraId="520D8860" w14:textId="77777777" w:rsidR="00421FEC" w:rsidRDefault="00421FEC" w:rsidP="00EA19CD">
            <w:pPr>
              <w:pStyle w:val="TableParagraph"/>
              <w:jc w:val="left"/>
              <w:rPr>
                <w:rFonts w:ascii="Times New Roman"/>
                <w:sz w:val="16"/>
              </w:rPr>
            </w:pPr>
          </w:p>
        </w:tc>
        <w:tc>
          <w:tcPr>
            <w:tcW w:w="1194" w:type="dxa"/>
            <w:tcBorders>
              <w:top w:val="single" w:sz="12" w:space="0" w:color="000000"/>
              <w:left w:val="single" w:sz="12" w:space="0" w:color="000000"/>
              <w:bottom w:val="single" w:sz="12" w:space="0" w:color="000000"/>
            </w:tcBorders>
          </w:tcPr>
          <w:p w14:paraId="6C359B6C" w14:textId="77777777" w:rsidR="00421FEC" w:rsidRDefault="00421FEC" w:rsidP="00EA19CD">
            <w:pPr>
              <w:pStyle w:val="TableParagraph"/>
              <w:spacing w:before="6" w:line="198" w:lineRule="exact"/>
              <w:ind w:left="10"/>
              <w:rPr>
                <w:sz w:val="19"/>
              </w:rPr>
            </w:pPr>
            <w:r>
              <w:rPr>
                <w:spacing w:val="-5"/>
                <w:sz w:val="19"/>
              </w:rPr>
              <w:t>$40</w:t>
            </w:r>
          </w:p>
        </w:tc>
      </w:tr>
      <w:tr w:rsidR="00421FEC" w14:paraId="2E788D2C" w14:textId="77777777" w:rsidTr="00421FEC">
        <w:trPr>
          <w:trHeight w:val="224"/>
        </w:trPr>
        <w:tc>
          <w:tcPr>
            <w:tcW w:w="1853" w:type="dxa"/>
            <w:tcBorders>
              <w:top w:val="single" w:sz="12" w:space="0" w:color="000000"/>
              <w:bottom w:val="single" w:sz="12" w:space="0" w:color="000000"/>
              <w:right w:val="single" w:sz="12" w:space="0" w:color="000000"/>
            </w:tcBorders>
          </w:tcPr>
          <w:p w14:paraId="73FBB143" w14:textId="77777777" w:rsidR="00421FEC" w:rsidRDefault="00421FEC" w:rsidP="00EA19CD">
            <w:pPr>
              <w:pStyle w:val="TableParagraph"/>
              <w:jc w:val="left"/>
              <w:rPr>
                <w:rFonts w:ascii="Times New Roman"/>
                <w:sz w:val="16"/>
              </w:rPr>
            </w:pPr>
          </w:p>
        </w:tc>
        <w:tc>
          <w:tcPr>
            <w:tcW w:w="1927" w:type="dxa"/>
            <w:tcBorders>
              <w:top w:val="single" w:sz="12" w:space="0" w:color="000000"/>
              <w:left w:val="single" w:sz="12" w:space="0" w:color="000000"/>
              <w:bottom w:val="single" w:sz="12" w:space="0" w:color="000000"/>
              <w:right w:val="single" w:sz="12" w:space="0" w:color="000000"/>
            </w:tcBorders>
          </w:tcPr>
          <w:p w14:paraId="19CC51C6" w14:textId="77777777" w:rsidR="00421FEC" w:rsidRDefault="00421FEC" w:rsidP="00EA19CD">
            <w:pPr>
              <w:pStyle w:val="TableParagraph"/>
              <w:jc w:val="left"/>
              <w:rPr>
                <w:rFonts w:ascii="Times New Roman"/>
                <w:sz w:val="16"/>
              </w:rPr>
            </w:pPr>
          </w:p>
        </w:tc>
        <w:tc>
          <w:tcPr>
            <w:tcW w:w="3510" w:type="dxa"/>
            <w:tcBorders>
              <w:top w:val="single" w:sz="12" w:space="0" w:color="000000"/>
              <w:left w:val="single" w:sz="12" w:space="0" w:color="000000"/>
              <w:bottom w:val="single" w:sz="12" w:space="0" w:color="000000"/>
              <w:right w:val="single" w:sz="12" w:space="0" w:color="000000"/>
            </w:tcBorders>
          </w:tcPr>
          <w:p w14:paraId="4E69EB46" w14:textId="2C46CB68" w:rsidR="00421FEC" w:rsidRDefault="00421FEC" w:rsidP="00EA19CD">
            <w:pPr>
              <w:pStyle w:val="TableParagraph"/>
              <w:spacing w:before="6" w:line="198" w:lineRule="exact"/>
              <w:ind w:left="15"/>
              <w:rPr>
                <w:sz w:val="19"/>
              </w:rPr>
            </w:pPr>
          </w:p>
        </w:tc>
        <w:tc>
          <w:tcPr>
            <w:tcW w:w="1056" w:type="dxa"/>
            <w:tcBorders>
              <w:top w:val="single" w:sz="12" w:space="0" w:color="000000"/>
              <w:left w:val="single" w:sz="12" w:space="0" w:color="000000"/>
              <w:bottom w:val="single" w:sz="12" w:space="0" w:color="000000"/>
              <w:right w:val="single" w:sz="12" w:space="0" w:color="000000"/>
            </w:tcBorders>
          </w:tcPr>
          <w:p w14:paraId="5073CE2C" w14:textId="77777777" w:rsidR="00421FEC" w:rsidRDefault="00421FEC" w:rsidP="00EA19CD">
            <w:pPr>
              <w:pStyle w:val="TableParagraph"/>
              <w:jc w:val="left"/>
              <w:rPr>
                <w:rFonts w:ascii="Times New Roman"/>
                <w:sz w:val="16"/>
              </w:rPr>
            </w:pPr>
          </w:p>
        </w:tc>
        <w:tc>
          <w:tcPr>
            <w:tcW w:w="1194" w:type="dxa"/>
            <w:tcBorders>
              <w:top w:val="single" w:sz="12" w:space="0" w:color="000000"/>
              <w:left w:val="single" w:sz="12" w:space="0" w:color="000000"/>
              <w:bottom w:val="single" w:sz="12" w:space="0" w:color="000000"/>
            </w:tcBorders>
          </w:tcPr>
          <w:p w14:paraId="05B93D7D" w14:textId="77777777" w:rsidR="00421FEC" w:rsidRDefault="00421FEC" w:rsidP="00EA19CD">
            <w:pPr>
              <w:pStyle w:val="TableParagraph"/>
              <w:spacing w:before="6" w:line="198" w:lineRule="exact"/>
              <w:ind w:left="10" w:right="1"/>
              <w:rPr>
                <w:sz w:val="19"/>
              </w:rPr>
            </w:pPr>
            <w:r>
              <w:rPr>
                <w:spacing w:val="-5"/>
                <w:sz w:val="19"/>
              </w:rPr>
              <w:t>$0</w:t>
            </w:r>
          </w:p>
        </w:tc>
      </w:tr>
      <w:tr w:rsidR="00421FEC" w14:paraId="40CF4F7E" w14:textId="77777777" w:rsidTr="00421FEC">
        <w:trPr>
          <w:trHeight w:val="229"/>
        </w:trPr>
        <w:tc>
          <w:tcPr>
            <w:tcW w:w="1853" w:type="dxa"/>
            <w:tcBorders>
              <w:top w:val="single" w:sz="12" w:space="0" w:color="000000"/>
              <w:right w:val="single" w:sz="12" w:space="0" w:color="000000"/>
            </w:tcBorders>
          </w:tcPr>
          <w:p w14:paraId="61CCA3A1" w14:textId="6411E976" w:rsidR="00421FEC" w:rsidRDefault="00421FEC" w:rsidP="00EA19CD">
            <w:pPr>
              <w:pStyle w:val="TableParagraph"/>
              <w:spacing w:before="6" w:line="203" w:lineRule="exact"/>
              <w:ind w:left="37"/>
              <w:rPr>
                <w:rFonts w:ascii="Arial"/>
                <w:b/>
                <w:sz w:val="19"/>
              </w:rPr>
            </w:pPr>
            <w:r>
              <w:rPr>
                <w:rFonts w:ascii="Arial"/>
                <w:b/>
                <w:spacing w:val="-2"/>
                <w:sz w:val="19"/>
              </w:rPr>
              <w:t>Quote</w:t>
            </w:r>
            <w:r>
              <w:rPr>
                <w:rFonts w:ascii="Arial"/>
                <w:b/>
                <w:spacing w:val="-2"/>
                <w:sz w:val="19"/>
              </w:rPr>
              <w:t xml:space="preserve"> </w:t>
            </w:r>
            <w:r>
              <w:rPr>
                <w:rFonts w:ascii="Arial"/>
                <w:b/>
                <w:spacing w:val="-2"/>
                <w:sz w:val="19"/>
              </w:rPr>
              <w:t>line</w:t>
            </w:r>
            <w:r>
              <w:rPr>
                <w:rFonts w:ascii="Arial"/>
                <w:b/>
                <w:spacing w:val="-2"/>
                <w:sz w:val="19"/>
              </w:rPr>
              <w:t xml:space="preserve"> </w:t>
            </w:r>
            <w:r>
              <w:rPr>
                <w:rFonts w:ascii="Arial"/>
                <w:b/>
                <w:spacing w:val="-2"/>
                <w:sz w:val="19"/>
              </w:rPr>
              <w:t>Total</w:t>
            </w:r>
          </w:p>
        </w:tc>
        <w:tc>
          <w:tcPr>
            <w:tcW w:w="1927" w:type="dxa"/>
            <w:tcBorders>
              <w:top w:val="single" w:sz="12" w:space="0" w:color="000000"/>
              <w:left w:val="single" w:sz="12" w:space="0" w:color="000000"/>
              <w:right w:val="single" w:sz="12" w:space="0" w:color="000000"/>
            </w:tcBorders>
          </w:tcPr>
          <w:p w14:paraId="02AE3EBE" w14:textId="77777777" w:rsidR="00421FEC" w:rsidRDefault="00421FEC" w:rsidP="00EA19CD">
            <w:pPr>
              <w:pStyle w:val="TableParagraph"/>
              <w:jc w:val="left"/>
              <w:rPr>
                <w:rFonts w:ascii="Times New Roman"/>
                <w:sz w:val="16"/>
              </w:rPr>
            </w:pPr>
          </w:p>
        </w:tc>
        <w:tc>
          <w:tcPr>
            <w:tcW w:w="3510" w:type="dxa"/>
            <w:tcBorders>
              <w:top w:val="single" w:sz="12" w:space="0" w:color="000000"/>
              <w:left w:val="single" w:sz="12" w:space="0" w:color="000000"/>
              <w:right w:val="single" w:sz="12" w:space="0" w:color="000000"/>
            </w:tcBorders>
          </w:tcPr>
          <w:p w14:paraId="71A9BE09" w14:textId="77777777" w:rsidR="00421FEC" w:rsidRDefault="00421FEC" w:rsidP="00EA19CD">
            <w:pPr>
              <w:pStyle w:val="TableParagraph"/>
              <w:jc w:val="left"/>
              <w:rPr>
                <w:rFonts w:ascii="Times New Roman"/>
                <w:sz w:val="16"/>
              </w:rPr>
            </w:pPr>
          </w:p>
        </w:tc>
        <w:tc>
          <w:tcPr>
            <w:tcW w:w="1056" w:type="dxa"/>
            <w:tcBorders>
              <w:top w:val="single" w:sz="12" w:space="0" w:color="000000"/>
              <w:left w:val="single" w:sz="12" w:space="0" w:color="000000"/>
              <w:right w:val="single" w:sz="12" w:space="0" w:color="000000"/>
            </w:tcBorders>
          </w:tcPr>
          <w:p w14:paraId="17EC5643" w14:textId="77777777" w:rsidR="00421FEC" w:rsidRDefault="00421FEC" w:rsidP="00EA19CD">
            <w:pPr>
              <w:pStyle w:val="TableParagraph"/>
              <w:spacing w:before="6" w:line="203" w:lineRule="exact"/>
              <w:ind w:left="13"/>
              <w:rPr>
                <w:rFonts w:ascii="Arial"/>
                <w:b/>
                <w:sz w:val="19"/>
              </w:rPr>
            </w:pPr>
            <w:r>
              <w:rPr>
                <w:rFonts w:ascii="Arial"/>
                <w:b/>
                <w:spacing w:val="-10"/>
                <w:sz w:val="19"/>
              </w:rPr>
              <w:t>3</w:t>
            </w:r>
          </w:p>
        </w:tc>
        <w:tc>
          <w:tcPr>
            <w:tcW w:w="1194" w:type="dxa"/>
            <w:tcBorders>
              <w:top w:val="single" w:sz="12" w:space="0" w:color="000000"/>
              <w:left w:val="single" w:sz="12" w:space="0" w:color="000000"/>
            </w:tcBorders>
          </w:tcPr>
          <w:p w14:paraId="60B5FD9D" w14:textId="77777777" w:rsidR="00421FEC" w:rsidRDefault="00421FEC" w:rsidP="00EA19CD">
            <w:pPr>
              <w:pStyle w:val="TableParagraph"/>
              <w:spacing w:before="6" w:line="203" w:lineRule="exact"/>
              <w:ind w:left="10" w:right="1"/>
              <w:rPr>
                <w:rFonts w:ascii="Arial"/>
                <w:b/>
                <w:sz w:val="19"/>
              </w:rPr>
            </w:pPr>
            <w:r>
              <w:rPr>
                <w:rFonts w:ascii="Arial"/>
                <w:b/>
                <w:spacing w:val="-4"/>
                <w:sz w:val="19"/>
              </w:rPr>
              <w:t>$225</w:t>
            </w:r>
          </w:p>
        </w:tc>
      </w:tr>
    </w:tbl>
    <w:p w14:paraId="1DDF627A" w14:textId="7F36601B" w:rsidR="00421FEC" w:rsidRPr="00421FEC" w:rsidRDefault="00421FEC" w:rsidP="00421FEC">
      <w:pPr>
        <w:spacing w:before="193"/>
        <w:rPr>
          <w:sz w:val="19"/>
        </w:rPr>
      </w:pPr>
      <w:r>
        <w:rPr>
          <w:rFonts w:ascii="Arial"/>
          <w:b/>
          <w:sz w:val="19"/>
        </w:rPr>
        <w:t>Quote</w:t>
      </w:r>
      <w:r>
        <w:rPr>
          <w:rFonts w:ascii="Arial"/>
          <w:b/>
          <w:spacing w:val="-3"/>
          <w:sz w:val="19"/>
        </w:rPr>
        <w:t xml:space="preserve"> </w:t>
      </w:r>
      <w:r>
        <w:rPr>
          <w:rFonts w:ascii="Arial"/>
          <w:b/>
          <w:sz w:val="19"/>
        </w:rPr>
        <w:t>Total:</w:t>
      </w:r>
      <w:r>
        <w:rPr>
          <w:rFonts w:ascii="Arial"/>
          <w:b/>
          <w:spacing w:val="-1"/>
          <w:sz w:val="19"/>
        </w:rPr>
        <w:t xml:space="preserve"> </w:t>
      </w:r>
      <w:r>
        <w:rPr>
          <w:spacing w:val="-4"/>
          <w:sz w:val="19"/>
        </w:rPr>
        <w:t>$225</w:t>
      </w:r>
    </w:p>
    <w:p w14:paraId="660609A4"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Cambria" w:eastAsia="Times New Roman" w:hAnsi="Cambria" w:cs="Segoe UI"/>
          <w:kern w:val="0"/>
          <w:sz w:val="56"/>
          <w:szCs w:val="56"/>
          <w14:ligatures w14:val="none"/>
        </w:rPr>
        <w:t>Master Services Agreement </w:t>
      </w:r>
    </w:p>
    <w:p w14:paraId="10ACB591" w14:textId="77777777" w:rsidR="00A64162" w:rsidRPr="00A64162" w:rsidRDefault="00A64162" w:rsidP="00A64162">
      <w:pPr>
        <w:spacing w:after="0" w:line="240" w:lineRule="auto"/>
        <w:jc w:val="both"/>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color w:val="000000"/>
          <w:kern w:val="0"/>
          <w:sz w:val="20"/>
          <w:szCs w:val="20"/>
          <w14:ligatures w14:val="none"/>
        </w:rPr>
        <w:t> </w:t>
      </w:r>
    </w:p>
    <w:p w14:paraId="4CBE3F1C" w14:textId="77777777" w:rsidR="00A64162" w:rsidRPr="00A64162" w:rsidRDefault="00A64162" w:rsidP="00A64162">
      <w:pPr>
        <w:spacing w:after="0" w:line="240" w:lineRule="auto"/>
        <w:jc w:val="both"/>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color w:val="000000"/>
          <w:kern w:val="0"/>
          <w:sz w:val="20"/>
          <w:szCs w:val="20"/>
          <w14:ligatures w14:val="none"/>
        </w:rPr>
        <w:t xml:space="preserve">This Contract Agreement is effective as of ​09/04/2024​ (the “Effective Date”), by and between </w:t>
      </w:r>
      <w:r w:rsidRPr="00A64162">
        <w:rPr>
          <w:rFonts w:ascii="Segoe UI" w:eastAsia="Times New Roman" w:hAnsi="Segoe UI" w:cs="Segoe UI"/>
          <w:b/>
          <w:bCs/>
          <w:color w:val="000000"/>
          <w:kern w:val="0"/>
          <w:sz w:val="20"/>
          <w:szCs w:val="20"/>
          <w14:ligatures w14:val="none"/>
        </w:rPr>
        <w:t xml:space="preserve">​Imperium Dynamics​ </w:t>
      </w:r>
      <w:r w:rsidRPr="00A64162">
        <w:rPr>
          <w:rFonts w:ascii="Segoe UI" w:eastAsia="Times New Roman" w:hAnsi="Segoe UI" w:cs="Segoe UI"/>
          <w:color w:val="000000"/>
          <w:kern w:val="0"/>
          <w:sz w:val="20"/>
          <w:szCs w:val="20"/>
          <w14:ligatures w14:val="none"/>
        </w:rPr>
        <w:t>with a principal place of business at ​​​</w:t>
      </w:r>
      <w:r w:rsidRPr="00A64162">
        <w:rPr>
          <w:rFonts w:ascii="Segoe UI" w:eastAsia="Times New Roman" w:hAnsi="Segoe UI" w:cs="Segoe UI"/>
          <w:color w:val="000000"/>
          <w:kern w:val="0"/>
          <w14:ligatures w14:val="none"/>
        </w:rPr>
        <w:t xml:space="preserve">, </w:t>
      </w:r>
      <w:r w:rsidRPr="00A64162">
        <w:rPr>
          <w:rFonts w:ascii="Segoe UI" w:eastAsia="Times New Roman" w:hAnsi="Segoe UI" w:cs="Segoe UI"/>
          <w:color w:val="000000"/>
          <w:kern w:val="0"/>
          <w:sz w:val="20"/>
          <w:szCs w:val="20"/>
          <w14:ligatures w14:val="none"/>
        </w:rPr>
        <w:t>​​​</w:t>
      </w:r>
      <w:r w:rsidRPr="00A64162">
        <w:rPr>
          <w:rFonts w:ascii="Segoe UI" w:eastAsia="Times New Roman" w:hAnsi="Segoe UI" w:cs="Segoe UI"/>
          <w:color w:val="000000"/>
          <w:kern w:val="0"/>
          <w14:ligatures w14:val="none"/>
        </w:rPr>
        <w:t xml:space="preserve">, </w:t>
      </w:r>
      <w:r w:rsidRPr="00A64162">
        <w:rPr>
          <w:rFonts w:ascii="Segoe UI" w:eastAsia="Times New Roman" w:hAnsi="Segoe UI" w:cs="Segoe UI"/>
          <w:color w:val="000000"/>
          <w:kern w:val="0"/>
          <w:sz w:val="20"/>
          <w:szCs w:val="20"/>
          <w14:ligatures w14:val="none"/>
        </w:rPr>
        <w:t>​​​</w:t>
      </w:r>
      <w:r w:rsidRPr="00A64162">
        <w:rPr>
          <w:rFonts w:ascii="Segoe UI" w:eastAsia="Times New Roman" w:hAnsi="Segoe UI" w:cs="Segoe UI"/>
          <w:color w:val="000000"/>
          <w:kern w:val="0"/>
          <w14:ligatures w14:val="none"/>
        </w:rPr>
        <w:t xml:space="preserve">, </w:t>
      </w:r>
      <w:r w:rsidRPr="00A64162">
        <w:rPr>
          <w:rFonts w:ascii="Segoe UI" w:eastAsia="Times New Roman" w:hAnsi="Segoe UI" w:cs="Segoe UI"/>
          <w:color w:val="000000"/>
          <w:kern w:val="0"/>
          <w:sz w:val="20"/>
          <w:szCs w:val="20"/>
          <w14:ligatures w14:val="none"/>
        </w:rPr>
        <w:t>​​​</w:t>
      </w:r>
      <w:r w:rsidRPr="00A64162">
        <w:rPr>
          <w:rFonts w:ascii="Segoe UI" w:eastAsia="Times New Roman" w:hAnsi="Segoe UI" w:cs="Segoe UI"/>
          <w:color w:val="000000"/>
          <w:kern w:val="0"/>
          <w14:ligatures w14:val="none"/>
        </w:rPr>
        <w:t xml:space="preserve">, </w:t>
      </w:r>
      <w:r w:rsidRPr="00A64162">
        <w:rPr>
          <w:rFonts w:ascii="Segoe UI" w:eastAsia="Times New Roman" w:hAnsi="Segoe UI" w:cs="Segoe UI"/>
          <w:color w:val="000000"/>
          <w:kern w:val="0"/>
          <w:sz w:val="20"/>
          <w:szCs w:val="20"/>
          <w14:ligatures w14:val="none"/>
        </w:rPr>
        <w:t>​​ (“</w:t>
      </w:r>
      <w:r w:rsidRPr="00A64162">
        <w:rPr>
          <w:rFonts w:ascii="Segoe UI" w:eastAsia="Times New Roman" w:hAnsi="Segoe UI" w:cs="Segoe UI"/>
          <w:b/>
          <w:bCs/>
          <w:color w:val="000000"/>
          <w:kern w:val="0"/>
          <w:sz w:val="20"/>
          <w:szCs w:val="20"/>
          <w14:ligatures w14:val="none"/>
        </w:rPr>
        <w:t>​IMPERIUM DYNAMICS​</w:t>
      </w:r>
      <w:r w:rsidRPr="00A64162">
        <w:rPr>
          <w:rFonts w:ascii="Segoe UI" w:eastAsia="Times New Roman" w:hAnsi="Segoe UI" w:cs="Segoe UI"/>
          <w:color w:val="000000"/>
          <w:kern w:val="0"/>
          <w:sz w:val="20"/>
          <w:szCs w:val="20"/>
          <w14:ligatures w14:val="none"/>
        </w:rPr>
        <w:t xml:space="preserve">”) and </w:t>
      </w:r>
      <w:r w:rsidRPr="00A64162">
        <w:rPr>
          <w:rFonts w:ascii="Segoe UI" w:eastAsia="Times New Roman" w:hAnsi="Segoe UI" w:cs="Segoe UI"/>
          <w:b/>
          <w:bCs/>
          <w:color w:val="000000"/>
          <w:kern w:val="0"/>
          <w:sz w:val="20"/>
          <w:szCs w:val="20"/>
          <w14:ligatures w14:val="none"/>
        </w:rPr>
        <w:t>​TechNova Solutions​</w:t>
      </w:r>
      <w:r w:rsidRPr="00A64162">
        <w:rPr>
          <w:rFonts w:ascii="Segoe UI" w:eastAsia="Times New Roman" w:hAnsi="Segoe UI" w:cs="Segoe UI"/>
          <w:color w:val="000000"/>
          <w:kern w:val="0"/>
          <w:sz w:val="20"/>
          <w:szCs w:val="20"/>
          <w14:ligatures w14:val="none"/>
        </w:rPr>
        <w:t xml:space="preserve"> (“Client”) with a principal place of business at ​​​</w:t>
      </w:r>
      <w:r w:rsidRPr="00A64162">
        <w:rPr>
          <w:rFonts w:ascii="Segoe UI" w:eastAsia="Times New Roman" w:hAnsi="Segoe UI" w:cs="Segoe UI"/>
          <w:color w:val="000000"/>
          <w:kern w:val="0"/>
          <w14:ligatures w14:val="none"/>
        </w:rPr>
        <w:t xml:space="preserve">, </w:t>
      </w:r>
      <w:r w:rsidRPr="00A64162">
        <w:rPr>
          <w:rFonts w:ascii="Segoe UI" w:eastAsia="Times New Roman" w:hAnsi="Segoe UI" w:cs="Segoe UI"/>
          <w:color w:val="000000"/>
          <w:kern w:val="0"/>
          <w:sz w:val="20"/>
          <w:szCs w:val="20"/>
          <w14:ligatures w14:val="none"/>
        </w:rPr>
        <w:t>​​​</w:t>
      </w:r>
      <w:r w:rsidRPr="00A64162">
        <w:rPr>
          <w:rFonts w:ascii="Segoe UI" w:eastAsia="Times New Roman" w:hAnsi="Segoe UI" w:cs="Segoe UI"/>
          <w:color w:val="000000"/>
          <w:kern w:val="0"/>
          <w14:ligatures w14:val="none"/>
        </w:rPr>
        <w:t xml:space="preserve">, </w:t>
      </w:r>
      <w:r w:rsidRPr="00A64162">
        <w:rPr>
          <w:rFonts w:ascii="Segoe UI" w:eastAsia="Times New Roman" w:hAnsi="Segoe UI" w:cs="Segoe UI"/>
          <w:color w:val="000000"/>
          <w:kern w:val="0"/>
          <w:sz w:val="20"/>
          <w:szCs w:val="20"/>
          <w14:ligatures w14:val="none"/>
        </w:rPr>
        <w:t>​​​</w:t>
      </w:r>
      <w:r w:rsidRPr="00A64162">
        <w:rPr>
          <w:rFonts w:ascii="Segoe UI" w:eastAsia="Times New Roman" w:hAnsi="Segoe UI" w:cs="Segoe UI"/>
          <w:color w:val="000000"/>
          <w:kern w:val="0"/>
          <w14:ligatures w14:val="none"/>
        </w:rPr>
        <w:t xml:space="preserve">, </w:t>
      </w:r>
      <w:r w:rsidRPr="00A64162">
        <w:rPr>
          <w:rFonts w:ascii="Segoe UI" w:eastAsia="Times New Roman" w:hAnsi="Segoe UI" w:cs="Segoe UI"/>
          <w:color w:val="000000"/>
          <w:kern w:val="0"/>
          <w:sz w:val="20"/>
          <w:szCs w:val="20"/>
          <w14:ligatures w14:val="none"/>
        </w:rPr>
        <w:t>​​​</w:t>
      </w:r>
      <w:r w:rsidRPr="00A64162">
        <w:rPr>
          <w:rFonts w:ascii="Segoe UI" w:eastAsia="Times New Roman" w:hAnsi="Segoe UI" w:cs="Segoe UI"/>
          <w:color w:val="000000"/>
          <w:kern w:val="0"/>
          <w14:ligatures w14:val="none"/>
        </w:rPr>
        <w:t xml:space="preserve">, </w:t>
      </w:r>
      <w:r w:rsidRPr="00A64162">
        <w:rPr>
          <w:rFonts w:ascii="Segoe UI" w:eastAsia="Times New Roman" w:hAnsi="Segoe UI" w:cs="Segoe UI"/>
          <w:color w:val="000000"/>
          <w:kern w:val="0"/>
          <w:sz w:val="20"/>
          <w:szCs w:val="20"/>
          <w14:ligatures w14:val="none"/>
        </w:rPr>
        <w:t xml:space="preserve">​​. This Contract Agreement sets forth the general terms and conditions that will apply to all services performed by </w:t>
      </w:r>
      <w:r w:rsidRPr="00A64162">
        <w:rPr>
          <w:rFonts w:ascii="Segoe UI" w:eastAsia="Times New Roman" w:hAnsi="Segoe UI" w:cs="Segoe UI"/>
          <w:b/>
          <w:bCs/>
          <w:color w:val="000000"/>
          <w:kern w:val="0"/>
          <w:sz w:val="20"/>
          <w:szCs w:val="20"/>
          <w14:ligatures w14:val="none"/>
        </w:rPr>
        <w:t>​IMPERIUM DYNAMICS​</w:t>
      </w:r>
      <w:r w:rsidRPr="00A64162">
        <w:rPr>
          <w:rFonts w:ascii="Segoe UI" w:eastAsia="Times New Roman" w:hAnsi="Segoe UI" w:cs="Segoe UI"/>
          <w:color w:val="000000"/>
          <w:kern w:val="0"/>
          <w:sz w:val="20"/>
          <w:szCs w:val="20"/>
          <w14:ligatures w14:val="none"/>
        </w:rPr>
        <w:t xml:space="preserve"> and all products sold or licensed by </w:t>
      </w:r>
      <w:r w:rsidRPr="00A64162">
        <w:rPr>
          <w:rFonts w:ascii="Segoe UI" w:eastAsia="Times New Roman" w:hAnsi="Segoe UI" w:cs="Segoe UI"/>
          <w:b/>
          <w:bCs/>
          <w:color w:val="000000"/>
          <w:kern w:val="0"/>
          <w:sz w:val="20"/>
          <w:szCs w:val="20"/>
          <w14:ligatures w14:val="none"/>
        </w:rPr>
        <w:t xml:space="preserve">​IMPERIUM DYNAMICS​ </w:t>
      </w:r>
      <w:r w:rsidRPr="00A64162">
        <w:rPr>
          <w:rFonts w:ascii="Segoe UI" w:eastAsia="Times New Roman" w:hAnsi="Segoe UI" w:cs="Segoe UI"/>
          <w:color w:val="000000"/>
          <w:kern w:val="0"/>
          <w:sz w:val="20"/>
          <w:szCs w:val="20"/>
          <w14:ligatures w14:val="none"/>
        </w:rPr>
        <w:t>for a Total Contract Value of ​200​. The specific terms and conditions on which such services / products will be provided will be set forth in one or more separate agreements (each, a “Related Agreement”), each of which incorporates the provisions of this Agreement. In the event of a specific conflict between the provisions of this Agreement and provisions of any Related Agreement, the provisions of the Related Agreement shall control.  </w:t>
      </w:r>
    </w:p>
    <w:p w14:paraId="3988014B" w14:textId="77777777" w:rsidR="00A64162" w:rsidRPr="00A64162" w:rsidRDefault="00A64162" w:rsidP="00A64162">
      <w:pPr>
        <w:spacing w:after="0" w:line="240" w:lineRule="auto"/>
        <w:jc w:val="both"/>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   </w:t>
      </w:r>
      <w:r w:rsidRPr="00A64162">
        <w:rPr>
          <w:rFonts w:ascii="Segoe UI" w:eastAsia="Times New Roman" w:hAnsi="Segoe UI" w:cs="Segoe UI"/>
          <w:kern w:val="0"/>
          <w14:ligatures w14:val="none"/>
        </w:rPr>
        <w:t>  </w:t>
      </w:r>
    </w:p>
    <w:p w14:paraId="31A67835"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40"/>
          <w:szCs w:val="40"/>
          <w14:ligatures w14:val="none"/>
        </w:rPr>
        <w:t>1. Scope of Work    </w:t>
      </w:r>
    </w:p>
    <w:p w14:paraId="5A5E5A8D"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This Contract shall commence on ​​09/04/2024​​ and conclude on ​09/12/2024​​.  </w:t>
      </w:r>
      <w:r w:rsidRPr="00A64162">
        <w:rPr>
          <w:rFonts w:ascii="Segoe UI" w:eastAsia="Times New Roman" w:hAnsi="Segoe UI" w:cs="Segoe UI"/>
          <w:kern w:val="0"/>
          <w14:ligatures w14:val="none"/>
        </w:rPr>
        <w:t> </w:t>
      </w:r>
      <w:r w:rsidRPr="00A64162">
        <w:rPr>
          <w:rFonts w:ascii="Segoe UI" w:eastAsia="Times New Roman" w:hAnsi="Segoe UI" w:cs="Segoe UI"/>
          <w:kern w:val="0"/>
          <w:sz w:val="20"/>
          <w:szCs w:val="20"/>
          <w14:ligatures w14:val="none"/>
        </w:rPr>
        <w:t> </w:t>
      </w:r>
      <w:r w:rsidRPr="00A64162">
        <w:rPr>
          <w:rFonts w:ascii="Segoe UI" w:eastAsia="Times New Roman" w:hAnsi="Segoe UI" w:cs="Segoe UI"/>
          <w:kern w:val="0"/>
          <w:sz w:val="20"/>
          <w:szCs w:val="20"/>
          <w14:ligatures w14:val="none"/>
        </w:rPr>
        <w:br/>
        <w:t>This Contract pertains to the construction of ​​Acadia Agreement​​.  </w:t>
      </w:r>
      <w:r w:rsidRPr="00A64162">
        <w:rPr>
          <w:rFonts w:ascii="Segoe UI" w:eastAsia="Times New Roman" w:hAnsi="Segoe UI" w:cs="Segoe UI"/>
          <w:kern w:val="0"/>
          <w14:ligatures w14:val="none"/>
        </w:rPr>
        <w:t> </w:t>
      </w:r>
      <w:r w:rsidRPr="00A64162">
        <w:rPr>
          <w:rFonts w:ascii="Segoe UI" w:eastAsia="Times New Roman" w:hAnsi="Segoe UI" w:cs="Segoe UI"/>
          <w:kern w:val="0"/>
          <w:sz w:val="20"/>
          <w:szCs w:val="20"/>
          <w14:ligatures w14:val="none"/>
        </w:rPr>
        <w:t> </w:t>
      </w:r>
      <w:r w:rsidRPr="00A64162">
        <w:rPr>
          <w:rFonts w:ascii="Segoe UI" w:eastAsia="Times New Roman" w:hAnsi="Segoe UI" w:cs="Segoe UI"/>
          <w:kern w:val="0"/>
          <w:sz w:val="20"/>
          <w:szCs w:val="20"/>
          <w14:ligatures w14:val="none"/>
        </w:rPr>
        <w:br/>
        <w:t xml:space="preserve">Contractor agrees to perform the following construction services for the Project described as ​​The service provider will be responsible for delivering IT services aimed at upgrading the client's internal software systems. This includes custom software development, system integration, data migration, testing, documentation, and staff training. Specifically, the provider will develop the required software to meet the client’s business requirements. Integration will be completed with existing systems and relevant third-party tools. The provider will also ensure the secure migration of all legacy data to the new system.   Comprehensive testing and quality assurance will be performed to guarantee that all functionalities meet the agreed specifications. Additionally, detailed technical and user documentation will </w:t>
      </w:r>
      <w:r w:rsidRPr="00A64162">
        <w:rPr>
          <w:rFonts w:ascii="Segoe UI" w:eastAsia="Times New Roman" w:hAnsi="Segoe UI" w:cs="Segoe UI"/>
          <w:kern w:val="0"/>
          <w:sz w:val="20"/>
          <w:szCs w:val="20"/>
          <w14:ligatures w14:val="none"/>
        </w:rPr>
        <w:lastRenderedPageBreak/>
        <w:t>be provided, along with training materials for the client’s staff. Training sessions will be conducted to ensure users are familiar with the new software and systems.  The service provider will adhere to specific Service Level Agreements (SLAs), which include maintaining a system uptime of 99.9% during operational hours, responding to technical support requests within four hours, and resolving critical issues or bugs within 24 hours. A dedicated project team consisting of developers, project managers, and quality assurance specialists will be assigned to ensure successful delivery. The client will be responsible for providing timely access to facilities, systems, and personnel necessary for completing the project.​​.</w:t>
      </w:r>
      <w:r w:rsidRPr="00A64162">
        <w:rPr>
          <w:rFonts w:ascii="Segoe UI" w:eastAsia="Times New Roman" w:hAnsi="Segoe UI" w:cs="Segoe UI"/>
          <w:kern w:val="0"/>
          <w14:ligatures w14:val="none"/>
        </w:rPr>
        <w:t> </w:t>
      </w:r>
      <w:r w:rsidRPr="00A64162">
        <w:rPr>
          <w:rFonts w:ascii="Segoe UI" w:eastAsia="Times New Roman" w:hAnsi="Segoe UI" w:cs="Segoe UI"/>
          <w:kern w:val="0"/>
          <w:sz w:val="20"/>
          <w:szCs w:val="20"/>
          <w14:ligatures w14:val="none"/>
        </w:rPr>
        <w:t> </w:t>
      </w:r>
      <w:r w:rsidRPr="00A64162">
        <w:rPr>
          <w:rFonts w:ascii="Segoe UI" w:eastAsia="Times New Roman" w:hAnsi="Segoe UI" w:cs="Segoe UI"/>
          <w:kern w:val="0"/>
          <w:sz w:val="20"/>
          <w:szCs w:val="20"/>
          <w14:ligatures w14:val="none"/>
        </w:rPr>
        <w:br/>
        <w:t>Detailed description of work to be performed.  </w:t>
      </w:r>
      <w:r w:rsidRPr="00A64162">
        <w:rPr>
          <w:rFonts w:ascii="Segoe UI" w:eastAsia="Times New Roman" w:hAnsi="Segoe UI" w:cs="Segoe UI"/>
          <w:kern w:val="0"/>
          <w14:ligatures w14:val="none"/>
        </w:rPr>
        <w:t> </w:t>
      </w:r>
      <w:r w:rsidRPr="00A64162">
        <w:rPr>
          <w:rFonts w:ascii="Segoe UI" w:eastAsia="Times New Roman" w:hAnsi="Segoe UI" w:cs="Segoe UI"/>
          <w:kern w:val="0"/>
          <w:sz w:val="20"/>
          <w:szCs w:val="20"/>
          <w14:ligatures w14:val="none"/>
        </w:rPr>
        <w:t> </w:t>
      </w:r>
      <w:r w:rsidRPr="00A64162">
        <w:rPr>
          <w:rFonts w:ascii="Segoe UI" w:eastAsia="Times New Roman" w:hAnsi="Segoe UI" w:cs="Segoe UI"/>
          <w:kern w:val="0"/>
          <w:sz w:val="20"/>
          <w:szCs w:val="20"/>
          <w14:ligatures w14:val="none"/>
        </w:rPr>
        <w:br/>
        <w:t>Contractor agrees to perform the following construction services for the Project described as ​Acadia Agreement​​:  </w:t>
      </w:r>
      <w:r w:rsidRPr="00A64162">
        <w:rPr>
          <w:rFonts w:ascii="Segoe UI" w:eastAsia="Times New Roman" w:hAnsi="Segoe UI" w:cs="Segoe UI"/>
          <w:kern w:val="0"/>
          <w14:ligatures w14:val="none"/>
        </w:rPr>
        <w:t> </w:t>
      </w:r>
      <w:r w:rsidRPr="00A64162">
        <w:rPr>
          <w:rFonts w:ascii="Segoe UI" w:eastAsia="Times New Roman" w:hAnsi="Segoe UI" w:cs="Segoe UI"/>
          <w:kern w:val="0"/>
          <w:sz w:val="20"/>
          <w:szCs w:val="20"/>
          <w14:ligatures w14:val="none"/>
        </w:rPr>
        <w:t> </w:t>
      </w:r>
      <w:r w:rsidRPr="00A64162">
        <w:rPr>
          <w:rFonts w:ascii="Segoe UI" w:eastAsia="Times New Roman" w:hAnsi="Segoe UI" w:cs="Segoe UI"/>
          <w:kern w:val="0"/>
          <w:sz w:val="20"/>
          <w:szCs w:val="20"/>
          <w14:ligatures w14:val="none"/>
        </w:rPr>
        <w:br/>
        <w:t>Detailed description of work to be performed.  </w:t>
      </w:r>
    </w:p>
    <w:p w14:paraId="70C4B022"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14:ligatures w14:val="none"/>
        </w:rPr>
        <w:t> </w:t>
      </w:r>
    </w:p>
    <w:p w14:paraId="44A5EB2F"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32"/>
          <w:szCs w:val="32"/>
          <w14:ligatures w14:val="none"/>
        </w:rPr>
        <w:t>1.1 Milestones </w:t>
      </w:r>
    </w:p>
    <w:p w14:paraId="2C3C3408"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14:ligatures w14:val="none"/>
        </w:rPr>
        <w:t>​​Conduct requirements gathering sessions with stakeholders and finalize the project plan. Design the system architecture, including workflow diagrams and data models, and obtain client approval. Develop the agreed-upon functionalities and conduct unit testing to verify each component's functionality. Complete User Acceptance Testing (UAT) with the client’s team, addressing and resolving any identified issues. Deploy the system and complete the official Go-Live process for operational use.​ </w:t>
      </w:r>
    </w:p>
    <w:p w14:paraId="1CA4D519"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14:ligatures w14:val="none"/>
        </w:rPr>
        <w:t> </w:t>
      </w:r>
    </w:p>
    <w:p w14:paraId="7A8FF0C7"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40"/>
          <w:szCs w:val="40"/>
          <w14:ligatures w14:val="none"/>
        </w:rPr>
        <w:t>2. PROFESSIONAL FEES &amp; EXPENSES  </w:t>
      </w:r>
    </w:p>
    <w:p w14:paraId="7F14F42E"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14:ligatures w14:val="none"/>
        </w:rPr>
        <w:t>The fees and expenses included in each Contract are estimates only. The actual fees and expenses will be set forth on ​Imperium Dynamics​’s invoices to Client. ​IMPERIUM DYNAMICS​ will determine its fees by actual time spent (including time spent at ​Imperium Dynamics​’s offices providing various project management tasks, testing and other services), based upon our hourly rates specified in the Contract. These rates are subject to change during the course of our engagement.  </w:t>
      </w:r>
    </w:p>
    <w:p w14:paraId="61E88C82" w14:textId="77777777" w:rsidR="00A64162" w:rsidRPr="00A64162" w:rsidRDefault="00A64162" w:rsidP="00A64162">
      <w:pPr>
        <w:spacing w:beforeAutospacing="1" w:after="0" w:afterAutospacing="1"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14:ligatures w14:val="none"/>
        </w:rPr>
        <w:t>If agreed in an individual Contract or otherwise in writing by the parties, the parties may agree to fix-price certain projects or deliverables.  </w:t>
      </w:r>
    </w:p>
    <w:p w14:paraId="3163448C"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14:ligatures w14:val="none"/>
        </w:rPr>
        <w:t>Reasonable pre-approved out-of-pocket expenses will be billed as incurred. Travel time will not be billed. </w:t>
      </w:r>
    </w:p>
    <w:p w14:paraId="48498939"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 </w:t>
      </w:r>
    </w:p>
    <w:p w14:paraId="48222BCB"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32"/>
          <w:szCs w:val="32"/>
          <w14:ligatures w14:val="none"/>
        </w:rPr>
        <w:t>2.1 Deposit &amp; Payment Terms &amp; Acceptance </w:t>
      </w:r>
    </w:p>
    <w:p w14:paraId="61F6EDA6" w14:textId="77777777" w:rsidR="00A64162" w:rsidRPr="00A64162" w:rsidRDefault="00A64162" w:rsidP="00A64162">
      <w:pPr>
        <w:spacing w:beforeAutospacing="1" w:after="0" w:afterAutospacing="1"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 xml:space="preserve">a. Unless otherwise specified in a Contract, a deposit of fifteen percent (15%) of the highest estimate is payable upon execution of the Contract. The deposit will be applied against the open balance throughout the engagement per the agreed milestone schedule (or if no milestone schedule is agreed upon, at the conclusion of the project). Invoices for services, products and other chargeable expenses will be submitted as work is performed and are payable within ​Net 15​ days of ​Imperium Dynamics​’s invoice date. Amounts ​Net 15​ days or more past due will be paid together with interest at the lower of one-and-one half percent </w:t>
      </w:r>
      <w:r w:rsidRPr="00A64162">
        <w:rPr>
          <w:rFonts w:ascii="Segoe UI" w:eastAsia="Times New Roman" w:hAnsi="Segoe UI" w:cs="Segoe UI"/>
          <w:kern w:val="0"/>
          <w:sz w:val="20"/>
          <w:szCs w:val="20"/>
          <w14:ligatures w14:val="none"/>
        </w:rPr>
        <w:lastRenderedPageBreak/>
        <w:t>(1 1/2%) per month overdue or the highest rate permitted by law. ​IMPERIUM DYNAMICS​ shall be entitled to stop work hereunder in the event that Client’s account is more than forty-five (45) days past due. Client shall pay any and all taxes, including sales, use and service taxes, except for the net income tax of ​IMPERIUM DYNAMICS​. </w:t>
      </w:r>
    </w:p>
    <w:p w14:paraId="5907F084" w14:textId="77777777" w:rsidR="00A64162" w:rsidRPr="00A64162" w:rsidRDefault="00A64162" w:rsidP="00A64162">
      <w:pPr>
        <w:spacing w:beforeAutospacing="1" w:after="0" w:afterAutospacing="1"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 </w:t>
      </w:r>
    </w:p>
    <w:p w14:paraId="20A2D16B"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b. Client shall promptly test, review and approve the deliverables provided by ​IMPERIUM DYNAMICS​ pursuant to this Agreement, an SOW or a Related Agreement. Subject to the terms and conditions therein, Client shall notify ​IMPERIUM DYNAMICS​ in writing within thirty (30) days of receipt of such deliverable if, in the Client’s good-faith business judgment, the deliverable fails to materially conform with the relevant specifications, providing a reasonable description of the reason for such determination. ​IMPERIUM DYNAMICS​ shall thereafter be permitted to remedy any such failure or deficiency and submit a revised version of such deliverable for Client’s further testing, review and approval, as provided above. </w:t>
      </w:r>
      <w:r w:rsidRPr="00A64162">
        <w:rPr>
          <w:rFonts w:ascii="Segoe UI" w:eastAsia="Times New Roman" w:hAnsi="Segoe UI" w:cs="Segoe UI"/>
          <w:kern w:val="0"/>
          <w:sz w:val="20"/>
          <w:szCs w:val="20"/>
          <w14:ligatures w14:val="none"/>
        </w:rPr>
        <w:br/>
        <w:t>  </w:t>
      </w:r>
    </w:p>
    <w:p w14:paraId="2148CB11"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40"/>
          <w:szCs w:val="40"/>
          <w14:ligatures w14:val="none"/>
        </w:rPr>
        <w:t>3. Change Orders    </w:t>
      </w:r>
    </w:p>
    <w:p w14:paraId="00A312D0"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Any changes to the scope of the work must be agreed upon in writing by both parties. Additional costs and time extensions resulting from change orders shall be negotiated and documented.  </w:t>
      </w:r>
      <w:r w:rsidRPr="00A64162">
        <w:rPr>
          <w:rFonts w:ascii="Segoe UI" w:eastAsia="Times New Roman" w:hAnsi="Segoe UI" w:cs="Segoe UI"/>
          <w:kern w:val="0"/>
          <w14:ligatures w14:val="none"/>
        </w:rPr>
        <w:t>  </w:t>
      </w:r>
    </w:p>
    <w:p w14:paraId="0B155B8E"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​​​Certain items are considered out of scope for this project. These include any hardware procurement or installation services, as well as customization of third-party software beyond the agreed integrations. The service provider will not be responsible for ongoing operational support or maintenance after the project is completed unless specified in a separate agreement. Additionally, any new feature requests or changes that were not part of the initial project scope will not be covered under this agreement.​​.</w:t>
      </w:r>
      <w:r w:rsidRPr="00A64162">
        <w:rPr>
          <w:rFonts w:ascii="Segoe UI" w:eastAsia="Times New Roman" w:hAnsi="Segoe UI" w:cs="Segoe UI"/>
          <w:kern w:val="0"/>
          <w14:ligatures w14:val="none"/>
        </w:rPr>
        <w:t>  </w:t>
      </w:r>
    </w:p>
    <w:p w14:paraId="4D660D96"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 </w:t>
      </w:r>
      <w:r w:rsidRPr="00A64162">
        <w:rPr>
          <w:rFonts w:ascii="Segoe UI" w:eastAsia="Times New Roman" w:hAnsi="Segoe UI" w:cs="Segoe UI"/>
          <w:kern w:val="0"/>
          <w14:ligatures w14:val="none"/>
        </w:rPr>
        <w:t>  </w:t>
      </w:r>
    </w:p>
    <w:p w14:paraId="5F23FEE8"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32"/>
          <w:szCs w:val="32"/>
          <w14:ligatures w14:val="none"/>
        </w:rPr>
        <w:t>3.1 LIMITATION OF LIABILITY  </w:t>
      </w:r>
    </w:p>
    <w:p w14:paraId="02F6F07D"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THE ENTIRE LIABILITY OF ​IMPERIUM DYNAMICS​ OR CLIENT TO EACH OTHER AND ANY OTHER PARTY FOR ANY LOSS OR DAMAGE RESULTING FROM ANY CLAIMS, DEMANDS OR ACTIONS ARISING OUT OF THE CONTRACT, THIS AGREEMENT OR ANY RELATED AGREEMENT OR THE PERFORMANCE OF OR FAILURE TO PERFORM SPECIFIC CONSULTING SERVICES SHALL NOT EXCEED, AS APPLICABLE, THE FEES PAYABLE TO ​IMPERIUM DYNAMICS​ FOR THE SERVICES RENDERED OR THE LICENSE FEE, SALES PRICE OR OTHER CHARGE PAYABLE TO ​IMPERIUM DYNAMICS​ FOR SOFTWARE OR PRODUCTS.  </w:t>
      </w:r>
    </w:p>
    <w:p w14:paraId="56749598"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IN NO EVENT WILL ​IMPERIUM DYNAMICS​ OR CLIENT BE LIABLE FOR ANY INDIRECT, INCIDENTAL, CONSEQUENTIAL, SPECIAL OR EXEMPLARY DAMAGES WHATSOEVER (INCLUDING WITHOUT LIMITATION, DAMAGES FOR LOSS OF BUSINESS PROFITS, BUSINESS INTERRUPTION, LOSS OF BUSINESS INFORMATION, LOSS OF OR DAMAGE TO REPUTATION OR OTHER PECUNIARY LOSS) ARISING OUT OF THE CONTRACT, THIS AGREEMENT OR ANY RELATED AGREEMENT FOR THE PERFORMANCE OF SPECIFIC CONSULTING SERVICES OR FOR ACTS OF NEGLIGENCE.  </w:t>
      </w:r>
    </w:p>
    <w:p w14:paraId="519BCC2D"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 </w:t>
      </w:r>
    </w:p>
    <w:p w14:paraId="60F4B0AA"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40"/>
          <w:szCs w:val="40"/>
          <w14:ligatures w14:val="none"/>
        </w:rPr>
        <w:t>4. Delays    </w:t>
      </w:r>
    </w:p>
    <w:p w14:paraId="262A4D31"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The parties shall promptly notify each other of any potential delays and work together to mitigate such delays. Compensation for the delays shall be addressed as agreed upon.  </w:t>
      </w:r>
      <w:r w:rsidRPr="00A64162">
        <w:rPr>
          <w:rFonts w:ascii="Segoe UI" w:eastAsia="Times New Roman" w:hAnsi="Segoe UI" w:cs="Segoe UI"/>
          <w:kern w:val="0"/>
          <w14:ligatures w14:val="none"/>
        </w:rPr>
        <w:t>  </w:t>
      </w:r>
    </w:p>
    <w:p w14:paraId="3FE005B3"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40"/>
          <w:szCs w:val="40"/>
          <w14:ligatures w14:val="none"/>
        </w:rPr>
        <w:t> </w:t>
      </w:r>
    </w:p>
    <w:p w14:paraId="10478703"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32"/>
          <w:szCs w:val="32"/>
          <w14:ligatures w14:val="none"/>
        </w:rPr>
        <w:t>4.1 CONFIDENTIALITY  </w:t>
      </w:r>
    </w:p>
    <w:p w14:paraId="23132F8B" w14:textId="77777777" w:rsidR="00A64162" w:rsidRPr="00A64162" w:rsidRDefault="00A64162" w:rsidP="00A64162">
      <w:pPr>
        <w:spacing w:after="0" w:afterAutospacing="1"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lastRenderedPageBreak/>
        <w:t>​​IMPERIUM DYNAMICS​ and the Client may have access to information that is confidential to one another (“Confidential Information”), including, without limitation, source code, documentation, specifications, data bases, system design, file layouts, tool combinations, development methods. Confidential Information also includes business or financial affairs, which may incorporate business methods, marketing strategies, pricing, competitor information, product development strategies and methods, customer lists, the terms of this Agreement or any Related Agreement between the parties, and financial results. Confidential Information also includes information received from others, both written and oral, that each party is obligated to treat as confidential. Each party may use the Confidential Information received from the other party only in connection with fulfilling its obligations under this Agreement or a Related Agreement.  </w:t>
      </w:r>
    </w:p>
    <w:p w14:paraId="3213BCD7" w14:textId="77777777" w:rsidR="00A64162" w:rsidRPr="00A64162" w:rsidRDefault="00A64162" w:rsidP="00A64162">
      <w:pPr>
        <w:spacing w:beforeAutospacing="1" w:after="0" w:afterAutospacing="1"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Confidential Information shall not include any information that (1) is already known by the recipient party or its affiliates, free of any obligation to keep it confidential, (2) is or becomes publicly known through no wrongful act of the receiving party or its affiliates, (3) is received by the receiving party from a third party without any restriction on confidentiality, (4) is independently developed by the receiving party or its affiliates, (5) is disclosed to third parties by the disclosing party without any obligation of confidentiality or because of a valid court order, rule, regulation or law, or (6) is approved for release by prior written authorization of the disclosing party. In the event of a judicially mandated disclosure pursuant to subsection (5) in the preceding sentence, the mandated party shall give adequate notice to the other party to permit that party to intervene and request protective or limiting orders.  </w:t>
      </w:r>
    </w:p>
    <w:p w14:paraId="3A4059AD"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The parties agree, for a period of three (3) years following termination or expiration of this Agreement, to maintain the confidentiality of the Confidential Information and to protect as a trade secret any portion of the other party’s Confidential Information for as long as such Confidential Information qualifies as a trade secret, by preventing any unauthorized copying, use, distribution, installation or transfer of possession of such information. Each party agrees to maintain at least the same procedures regarding Confidential Information that it maintains with respect to its own Confidential Information, but in no event less than a reasonable degree of care. Client is responsible for the accuracy, completeness and proprietary nature concerning Client materials that it furnishes to ​IMPERIUM DYNAMICS​. </w:t>
      </w:r>
      <w:r w:rsidRPr="00A64162">
        <w:rPr>
          <w:rFonts w:ascii="Segoe UI" w:eastAsia="Times New Roman" w:hAnsi="Segoe UI" w:cs="Segoe UI"/>
          <w:kern w:val="0"/>
          <w:sz w:val="20"/>
          <w:szCs w:val="20"/>
          <w14:ligatures w14:val="none"/>
        </w:rPr>
        <w:br/>
        <w:t> </w:t>
      </w:r>
      <w:r w:rsidRPr="00A64162">
        <w:rPr>
          <w:rFonts w:ascii="Segoe UI" w:eastAsia="Times New Roman" w:hAnsi="Segoe UI" w:cs="Segoe UI"/>
          <w:kern w:val="0"/>
          <w14:ligatures w14:val="none"/>
        </w:rPr>
        <w:t>  </w:t>
      </w:r>
    </w:p>
    <w:p w14:paraId="51BD05F5"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40"/>
          <w:szCs w:val="40"/>
          <w14:ligatures w14:val="none"/>
        </w:rPr>
        <w:t>5. Indemnification    </w:t>
      </w:r>
    </w:p>
    <w:p w14:paraId="5B9A661D"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Each party agrees to indemnify and hold harmless the other from any claims, damages, or liabilities arising out of their respective actions or omissions.  </w:t>
      </w:r>
      <w:r w:rsidRPr="00A64162">
        <w:rPr>
          <w:rFonts w:ascii="Segoe UI" w:eastAsia="Times New Roman" w:hAnsi="Segoe UI" w:cs="Segoe UI"/>
          <w:kern w:val="0"/>
          <w14:ligatures w14:val="none"/>
        </w:rPr>
        <w:t> </w:t>
      </w:r>
      <w:r w:rsidRPr="00A64162">
        <w:rPr>
          <w:rFonts w:ascii="Segoe UI" w:eastAsia="Times New Roman" w:hAnsi="Segoe UI" w:cs="Segoe UI"/>
          <w:kern w:val="0"/>
          <w:sz w:val="20"/>
          <w:szCs w:val="20"/>
          <w14:ligatures w14:val="none"/>
        </w:rPr>
        <w:t> </w:t>
      </w:r>
      <w:r w:rsidRPr="00A64162">
        <w:rPr>
          <w:rFonts w:ascii="Segoe UI" w:eastAsia="Times New Roman" w:hAnsi="Segoe UI" w:cs="Segoe UI"/>
          <w:kern w:val="0"/>
          <w:sz w:val="20"/>
          <w:szCs w:val="20"/>
          <w14:ligatures w14:val="none"/>
        </w:rPr>
        <w:br/>
        <w:t> </w:t>
      </w:r>
      <w:r w:rsidRPr="00A64162">
        <w:rPr>
          <w:rFonts w:ascii="Segoe UI" w:eastAsia="Times New Roman" w:hAnsi="Segoe UI" w:cs="Segoe UI"/>
          <w:kern w:val="0"/>
          <w14:ligatures w14:val="none"/>
        </w:rPr>
        <w:t>  </w:t>
      </w:r>
    </w:p>
    <w:p w14:paraId="4D4C45C5"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32"/>
          <w:szCs w:val="32"/>
          <w14:ligatures w14:val="none"/>
        </w:rPr>
        <w:t>5.1 Termination    </w:t>
      </w:r>
    </w:p>
    <w:p w14:paraId="021D6B3D"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Either party may terminate this contract for cause upon written notice if the other party breaches a material term and fails to cure.  </w:t>
      </w:r>
      <w:r w:rsidRPr="00A64162">
        <w:rPr>
          <w:rFonts w:ascii="Segoe UI" w:eastAsia="Times New Roman" w:hAnsi="Segoe UI" w:cs="Segoe UI"/>
          <w:kern w:val="0"/>
          <w14:ligatures w14:val="none"/>
        </w:rPr>
        <w:t> </w:t>
      </w:r>
      <w:r w:rsidRPr="00A64162">
        <w:rPr>
          <w:rFonts w:ascii="Segoe UI" w:eastAsia="Times New Roman" w:hAnsi="Segoe UI" w:cs="Segoe UI"/>
          <w:kern w:val="0"/>
          <w:sz w:val="20"/>
          <w:szCs w:val="20"/>
          <w14:ligatures w14:val="none"/>
        </w:rPr>
        <w:t> </w:t>
      </w:r>
      <w:r w:rsidRPr="00A64162">
        <w:rPr>
          <w:rFonts w:ascii="Segoe UI" w:eastAsia="Times New Roman" w:hAnsi="Segoe UI" w:cs="Segoe UI"/>
          <w:kern w:val="0"/>
          <w:sz w:val="20"/>
          <w:szCs w:val="20"/>
          <w14:ligatures w14:val="none"/>
        </w:rPr>
        <w:br/>
        <w:t> </w:t>
      </w:r>
      <w:r w:rsidRPr="00A64162">
        <w:rPr>
          <w:rFonts w:ascii="Segoe UI" w:eastAsia="Times New Roman" w:hAnsi="Segoe UI" w:cs="Segoe UI"/>
          <w:kern w:val="0"/>
          <w14:ligatures w14:val="none"/>
        </w:rPr>
        <w:t>  </w:t>
      </w:r>
    </w:p>
    <w:p w14:paraId="3DA7C061"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32"/>
          <w:szCs w:val="32"/>
          <w14:ligatures w14:val="none"/>
        </w:rPr>
        <w:t>5.2 General Terms and Conditions    </w:t>
      </w:r>
    </w:p>
    <w:p w14:paraId="678C0C13"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The following terms and conditions govern the business relationship between ​TechNova Solutions​​ and ​Imperium Dynamics​​.  </w:t>
      </w:r>
      <w:r w:rsidRPr="00A64162">
        <w:rPr>
          <w:rFonts w:ascii="Segoe UI" w:eastAsia="Times New Roman" w:hAnsi="Segoe UI" w:cs="Segoe UI"/>
          <w:kern w:val="0"/>
          <w14:ligatures w14:val="none"/>
        </w:rPr>
        <w:t> </w:t>
      </w:r>
      <w:r w:rsidRPr="00A64162">
        <w:rPr>
          <w:rFonts w:ascii="Segoe UI" w:eastAsia="Times New Roman" w:hAnsi="Segoe UI" w:cs="Segoe UI"/>
          <w:kern w:val="0"/>
          <w:sz w:val="20"/>
          <w:szCs w:val="20"/>
          <w14:ligatures w14:val="none"/>
        </w:rPr>
        <w:t> </w:t>
      </w:r>
      <w:r w:rsidRPr="00A64162">
        <w:rPr>
          <w:rFonts w:ascii="Segoe UI" w:eastAsia="Times New Roman" w:hAnsi="Segoe UI" w:cs="Segoe UI"/>
          <w:kern w:val="0"/>
          <w:sz w:val="20"/>
          <w:szCs w:val="20"/>
          <w14:ligatures w14:val="none"/>
        </w:rPr>
        <w:br/>
        <w:t>​​NONE​​.</w:t>
      </w:r>
      <w:r w:rsidRPr="00A64162">
        <w:rPr>
          <w:rFonts w:ascii="Segoe UI" w:eastAsia="Times New Roman" w:hAnsi="Segoe UI" w:cs="Segoe UI"/>
          <w:kern w:val="0"/>
          <w14:ligatures w14:val="none"/>
        </w:rPr>
        <w:t>  </w:t>
      </w:r>
    </w:p>
    <w:p w14:paraId="02B826A6"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libri" w:eastAsia="Times New Roman" w:hAnsi="Calibri" w:cs="Calibri"/>
          <w:color w:val="365F91"/>
          <w:kern w:val="0"/>
          <w:sz w:val="28"/>
          <w:szCs w:val="28"/>
          <w14:ligatures w14:val="none"/>
        </w:rPr>
        <w:t>5.2.1 INSURANCE  </w:t>
      </w:r>
    </w:p>
    <w:p w14:paraId="6DAF5770"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​​Imperium Dynamics​ warrants that it maintains such business insurance as is required for a ​Imperium Dynamics​.​​ corporation doing business in the States of ​Imperium Dynamics​.​​. </w:t>
      </w:r>
      <w:r w:rsidRPr="00A64162">
        <w:rPr>
          <w:rFonts w:ascii="Segoe UI" w:eastAsia="Times New Roman" w:hAnsi="Segoe UI" w:cs="Segoe UI"/>
          <w:kern w:val="0"/>
          <w14:ligatures w14:val="none"/>
        </w:rPr>
        <w:t>  </w:t>
      </w:r>
    </w:p>
    <w:p w14:paraId="7ABA592D"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lastRenderedPageBreak/>
        <w:t> </w:t>
      </w:r>
    </w:p>
    <w:p w14:paraId="59FBFD12"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40"/>
          <w:szCs w:val="40"/>
          <w14:ligatures w14:val="none"/>
        </w:rPr>
        <w:t>6. TERMINATION &amp; CANCELLATION  </w:t>
      </w:r>
    </w:p>
    <w:p w14:paraId="332880C5"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Either party may terminate this Agreement upon written notice to the other party for any reason or for Cause. “Cause” shall include (i) either party’s failure to perform its material obligations hereunder or in accordance with the warranties set forth herein, when such failure continues unremedied to the satisfaction of the other party for a period of ten (10) days following written notice of such failure or (ii) Client’s failure reasonably to pay invoices for services rendered. Upon termination with or without reasonable cause, ​IMPERIUM DYNAMICS​ shall be paid for all fees earned to the point of termination and all expenses incurred to such date.  </w:t>
      </w:r>
    </w:p>
    <w:p w14:paraId="33E0C841" w14:textId="77777777" w:rsidR="00A64162" w:rsidRPr="00A64162" w:rsidRDefault="00A64162" w:rsidP="00A64162">
      <w:pPr>
        <w:spacing w:beforeAutospacing="1"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In the event of any breach or default by Client under this Agreement or under any Related Agreement, ​IMPERIUM DYNAMICS​ may, in addition to its other rights and remedies and not in lieu thereof, suspend the performance of any or all of its obligations during the continuance of such breach or default. Any such suspension shall also result in a reasonable extension of the time for the performance of the suspended obligations and any other obligations of ​IMPERIUM DYNAMICS​ dependent thereon. </w:t>
      </w:r>
    </w:p>
    <w:p w14:paraId="516F326A"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 </w:t>
      </w:r>
    </w:p>
    <w:p w14:paraId="31EDED51"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Client may cancel scheduled consulting time upon not less than two (2) working days’ prior written notice. Unless the consultant was otherwise deployed on billable work, any cancellation of scheduled time upon less than two (2) working days’ prior written notice may result in a fee payable to ​IMPERIUM DYNAMICS​ equal to the scheduled consulting period. </w:t>
      </w:r>
    </w:p>
    <w:p w14:paraId="0FB609FB"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32"/>
          <w:szCs w:val="32"/>
          <w14:ligatures w14:val="none"/>
        </w:rPr>
        <w:t> </w:t>
      </w:r>
    </w:p>
    <w:p w14:paraId="55A99595"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32"/>
          <w:szCs w:val="32"/>
          <w14:ligatures w14:val="none"/>
        </w:rPr>
        <w:t>6.1 Arbitration  </w:t>
      </w:r>
    </w:p>
    <w:p w14:paraId="65DC6632"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Any dispute arising out of or relating to this Agreement or a Related Agreement, or the breach thereof (a “Dispute”), if not resolved by negotiation among the parties within thirty (30) days after such dispute is raised by either party in a writing describing in reasonable detail the specifics of the claim (the “Dispute Cure Period”), will be settled by binding arbitration by a single arbitrator in accordance with the Commercial Arbitration Rules of the American Arbitration Association then in effect, and judgment upon the award rendered by the arbitrator may be entered in any court having jurisdiction over this Agreement. Any such arbitration will be conducted in or near Chicago, Illinois. In no event shall any award exceeding the fees paid for products or services provided by ​IMPERIUM DYNAMICS​ be entered except in conjunction with the termination of Client's right to use same as part of said award. Each party shall bear its own expense of arbitration, and the panel of arbitrators may award pre-award interest but shall not award punitive damages. Notwithstanding any of the foregoing, nothing in this Agreement shall prohibit or restrict either party from pursuing all lawful recourse and remedies it may have, including injunctive relief, in order to protect its proprietary rights, Confidential Information, or effect collection of payments for invoices due pursuant to any Related Agreement. The prevailing party shall be entitled to receive from the other party its reasonable attorney’s fees and costs incurred in connection with any action, proceeding or arbitration hereunder. </w:t>
      </w:r>
    </w:p>
    <w:p w14:paraId="534969AC"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 </w:t>
      </w:r>
    </w:p>
    <w:p w14:paraId="4267DFB3"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40"/>
          <w:szCs w:val="40"/>
          <w14:ligatures w14:val="none"/>
        </w:rPr>
        <w:t>7. Equitable Relief  </w:t>
      </w:r>
    </w:p>
    <w:p w14:paraId="25FDA54E"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color w:val="000000"/>
          <w:kern w:val="0"/>
          <w:sz w:val="20"/>
          <w:szCs w:val="20"/>
          <w14:ligatures w14:val="none"/>
        </w:rPr>
        <w:t>Either party, before or during any arbitration, may apply to a court having jurisdiction for a temporary restraining order or preliminary injunction, where such relief is necessary to protect its interests’ pending completion of the arbitration proceedings.  </w:t>
      </w:r>
    </w:p>
    <w:p w14:paraId="0EBB5B8F"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color w:val="000000"/>
          <w:kern w:val="0"/>
          <w:sz w:val="20"/>
          <w:szCs w:val="20"/>
          <w14:ligatures w14:val="none"/>
        </w:rPr>
        <w:t> </w:t>
      </w:r>
    </w:p>
    <w:p w14:paraId="44B43598"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40"/>
          <w:szCs w:val="40"/>
          <w14:ligatures w14:val="none"/>
        </w:rPr>
        <w:t>8. Governing Law - Interpretation  </w:t>
      </w:r>
    </w:p>
    <w:p w14:paraId="5078EE58"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color w:val="000000"/>
          <w:kern w:val="0"/>
          <w:sz w:val="20"/>
          <w:szCs w:val="20"/>
          <w14:ligatures w14:val="none"/>
        </w:rPr>
        <w:lastRenderedPageBreak/>
        <w:t>This Agreement shall be governed by and construed in accordance with the laws of the State of Illinois, without to the conflict of laws provisions thereof. Each term, condition and provision of this Agreement and any Related Agreement shall be valid and enforced to the fullest extent permitted by law. If any such term, condition, or provision, or the application thereof to any person or circumstance, shall be held invalid or unenforceable to any extent, then such term, condition, or provision shall be curtailed and limited to the extent necessary to bring it within the legal requirements, and the remainder of this Agreement or any Related Agreement, and the application of such term, condition, or provision to persons or circumstances other than those to which it is held invalid or unenforceable, shall not be affected thereby. </w:t>
      </w:r>
    </w:p>
    <w:p w14:paraId="4A5C95E9"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color w:val="000000"/>
          <w:kern w:val="0"/>
          <w:sz w:val="20"/>
          <w:szCs w:val="20"/>
          <w14:ligatures w14:val="none"/>
        </w:rPr>
        <w:t> </w:t>
      </w:r>
    </w:p>
    <w:p w14:paraId="5CEFF3B8"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32"/>
          <w:szCs w:val="32"/>
          <w14:ligatures w14:val="none"/>
        </w:rPr>
        <w:t>8.1 Assignment  </w:t>
      </w:r>
    </w:p>
    <w:p w14:paraId="7C65BF25" w14:textId="77777777" w:rsidR="00A64162" w:rsidRPr="00A64162" w:rsidRDefault="00A64162" w:rsidP="00A64162">
      <w:pPr>
        <w:spacing w:after="0" w:line="240" w:lineRule="auto"/>
        <w:textAlignment w:val="baseline"/>
        <w:rPr>
          <w:rFonts w:ascii="Segoe UI" w:eastAsia="Times New Roman" w:hAnsi="Segoe UI" w:cs="Segoe UI"/>
          <w:color w:val="000000"/>
          <w:kern w:val="0"/>
          <w:sz w:val="18"/>
          <w:szCs w:val="18"/>
          <w14:ligatures w14:val="none"/>
        </w:rPr>
      </w:pPr>
      <w:r w:rsidRPr="00A64162">
        <w:rPr>
          <w:rFonts w:ascii="Segoe UI" w:eastAsia="Times New Roman" w:hAnsi="Segoe UI" w:cs="Segoe UI"/>
          <w:b/>
          <w:bCs/>
          <w:color w:val="000000"/>
          <w:kern w:val="0"/>
          <w:sz w:val="20"/>
          <w:szCs w:val="20"/>
          <w14:ligatures w14:val="none"/>
        </w:rPr>
        <w:t>​​IMPERIUM DYNAMICS​</w:t>
      </w:r>
      <w:r w:rsidRPr="00A64162">
        <w:rPr>
          <w:rFonts w:ascii="Segoe UI" w:eastAsia="Times New Roman" w:hAnsi="Segoe UI" w:cs="Segoe UI"/>
          <w:color w:val="000000"/>
          <w:kern w:val="0"/>
          <w:sz w:val="20"/>
          <w:szCs w:val="20"/>
          <w14:ligatures w14:val="none"/>
        </w:rPr>
        <w:t xml:space="preserve"> party may not assign this Agreement or a Related Agreement without the prior written consent of Client, which consent shall not unreasonably be withheld. Notwithstanding the foregoing, </w:t>
      </w:r>
      <w:r w:rsidRPr="00A64162">
        <w:rPr>
          <w:rFonts w:ascii="Segoe UI" w:eastAsia="Times New Roman" w:hAnsi="Segoe UI" w:cs="Segoe UI"/>
          <w:b/>
          <w:bCs/>
          <w:color w:val="000000"/>
          <w:kern w:val="0"/>
          <w:sz w:val="20"/>
          <w:szCs w:val="20"/>
          <w14:ligatures w14:val="none"/>
        </w:rPr>
        <w:t>​IMPERIUM DYNAMICS​</w:t>
      </w:r>
      <w:r w:rsidRPr="00A64162">
        <w:rPr>
          <w:rFonts w:ascii="Segoe UI" w:eastAsia="Times New Roman" w:hAnsi="Segoe UI" w:cs="Segoe UI"/>
          <w:color w:val="000000"/>
          <w:kern w:val="0"/>
          <w:sz w:val="20"/>
          <w:szCs w:val="20"/>
          <w14:ligatures w14:val="none"/>
        </w:rPr>
        <w:t xml:space="preserve"> may assign a Related Agreement without the written consent of Client to an entity controlling, controlled by, or under common control with </w:t>
      </w:r>
      <w:r w:rsidRPr="00A64162">
        <w:rPr>
          <w:rFonts w:ascii="Segoe UI" w:eastAsia="Times New Roman" w:hAnsi="Segoe UI" w:cs="Segoe UI"/>
          <w:b/>
          <w:bCs/>
          <w:color w:val="000000"/>
          <w:kern w:val="0"/>
          <w:sz w:val="20"/>
          <w:szCs w:val="20"/>
          <w14:ligatures w14:val="none"/>
        </w:rPr>
        <w:t>​IMPERIUM DYNAMICS​</w:t>
      </w:r>
      <w:r w:rsidRPr="00A64162">
        <w:rPr>
          <w:rFonts w:ascii="Segoe UI" w:eastAsia="Times New Roman" w:hAnsi="Segoe UI" w:cs="Segoe UI"/>
          <w:color w:val="000000"/>
          <w:kern w:val="0"/>
          <w:sz w:val="20"/>
          <w:szCs w:val="20"/>
          <w14:ligatures w14:val="none"/>
        </w:rPr>
        <w:t xml:space="preserve"> or to a successor of </w:t>
      </w:r>
      <w:r w:rsidRPr="00A64162">
        <w:rPr>
          <w:rFonts w:ascii="Segoe UI" w:eastAsia="Times New Roman" w:hAnsi="Segoe UI" w:cs="Segoe UI"/>
          <w:b/>
          <w:bCs/>
          <w:color w:val="000000"/>
          <w:kern w:val="0"/>
          <w:sz w:val="20"/>
          <w:szCs w:val="20"/>
          <w14:ligatures w14:val="none"/>
        </w:rPr>
        <w:t>​IMPERIUM DYNAMICS​</w:t>
      </w:r>
      <w:r w:rsidRPr="00A64162">
        <w:rPr>
          <w:rFonts w:ascii="Segoe UI" w:eastAsia="Times New Roman" w:hAnsi="Segoe UI" w:cs="Segoe UI"/>
          <w:color w:val="000000"/>
          <w:kern w:val="0"/>
          <w:sz w:val="20"/>
          <w:szCs w:val="20"/>
          <w14:ligatures w14:val="none"/>
        </w:rPr>
        <w:t xml:space="preserve"> in the event of the sale of all or substantially all of the assets and/or business of </w:t>
      </w:r>
      <w:r w:rsidRPr="00A64162">
        <w:rPr>
          <w:rFonts w:ascii="Segoe UI" w:eastAsia="Times New Roman" w:hAnsi="Segoe UI" w:cs="Segoe UI"/>
          <w:b/>
          <w:bCs/>
          <w:color w:val="000000"/>
          <w:kern w:val="0"/>
          <w:sz w:val="20"/>
          <w:szCs w:val="20"/>
          <w14:ligatures w14:val="none"/>
        </w:rPr>
        <w:t>​IMPERIUM DYNAMICS​</w:t>
      </w:r>
      <w:r w:rsidRPr="00A64162">
        <w:rPr>
          <w:rFonts w:ascii="Segoe UI" w:eastAsia="Times New Roman" w:hAnsi="Segoe UI" w:cs="Segoe UI"/>
          <w:color w:val="000000"/>
          <w:kern w:val="0"/>
          <w:sz w:val="20"/>
          <w:szCs w:val="20"/>
          <w14:ligatures w14:val="none"/>
        </w:rPr>
        <w:t xml:space="preserve">. Except as expressly set forth herein, any attempt by </w:t>
      </w:r>
      <w:r w:rsidRPr="00A64162">
        <w:rPr>
          <w:rFonts w:ascii="Segoe UI" w:eastAsia="Times New Roman" w:hAnsi="Segoe UI" w:cs="Segoe UI"/>
          <w:b/>
          <w:bCs/>
          <w:color w:val="000000"/>
          <w:kern w:val="0"/>
          <w:sz w:val="20"/>
          <w:szCs w:val="20"/>
          <w14:ligatures w14:val="none"/>
        </w:rPr>
        <w:t>​IMPERIUM DYNAMICS​</w:t>
      </w:r>
      <w:r w:rsidRPr="00A64162">
        <w:rPr>
          <w:rFonts w:ascii="Segoe UI" w:eastAsia="Times New Roman" w:hAnsi="Segoe UI" w:cs="Segoe UI"/>
          <w:color w:val="000000"/>
          <w:kern w:val="0"/>
          <w:sz w:val="20"/>
          <w:szCs w:val="20"/>
          <w14:ligatures w14:val="none"/>
        </w:rPr>
        <w:t xml:space="preserve"> to assign, or assignment, in whole or in part, by operation of law or otherwise, without Client’s prior written consent shall be null and void. Each Related Agreement will be binding upon, and will inure to the benefit of, </w:t>
      </w:r>
      <w:r w:rsidRPr="00A64162">
        <w:rPr>
          <w:rFonts w:ascii="Segoe UI" w:eastAsia="Times New Roman" w:hAnsi="Segoe UI" w:cs="Segoe UI"/>
          <w:b/>
          <w:bCs/>
          <w:color w:val="000000"/>
          <w:kern w:val="0"/>
          <w:sz w:val="20"/>
          <w:szCs w:val="20"/>
          <w14:ligatures w14:val="none"/>
        </w:rPr>
        <w:t>​IMPERIUM DYNAMICS​</w:t>
      </w:r>
      <w:r w:rsidRPr="00A64162">
        <w:rPr>
          <w:rFonts w:ascii="Segoe UI" w:eastAsia="Times New Roman" w:hAnsi="Segoe UI" w:cs="Segoe UI"/>
          <w:color w:val="000000"/>
          <w:kern w:val="0"/>
          <w:sz w:val="20"/>
          <w:szCs w:val="20"/>
          <w14:ligatures w14:val="none"/>
        </w:rPr>
        <w:t>, Client and their permitted successors and assigns.  </w:t>
      </w:r>
    </w:p>
    <w:p w14:paraId="6662DE75" w14:textId="77777777" w:rsidR="00A64162" w:rsidRPr="00A64162" w:rsidRDefault="00A64162" w:rsidP="00A64162">
      <w:pPr>
        <w:spacing w:after="0" w:line="240" w:lineRule="auto"/>
        <w:textAlignment w:val="baseline"/>
        <w:rPr>
          <w:rFonts w:ascii="Segoe UI" w:eastAsia="Times New Roman" w:hAnsi="Segoe UI" w:cs="Segoe UI"/>
          <w:color w:val="000000"/>
          <w:kern w:val="0"/>
          <w:sz w:val="18"/>
          <w:szCs w:val="18"/>
          <w14:ligatures w14:val="none"/>
        </w:rPr>
      </w:pPr>
      <w:r w:rsidRPr="00A64162">
        <w:rPr>
          <w:rFonts w:ascii="Segoe UI" w:eastAsia="Times New Roman" w:hAnsi="Segoe UI" w:cs="Segoe UI"/>
          <w:color w:val="000000"/>
          <w:kern w:val="0"/>
          <w:sz w:val="20"/>
          <w:szCs w:val="20"/>
          <w14:ligatures w14:val="none"/>
        </w:rPr>
        <w:t> </w:t>
      </w:r>
    </w:p>
    <w:p w14:paraId="79FD1D9F"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40"/>
          <w:szCs w:val="40"/>
          <w14:ligatures w14:val="none"/>
        </w:rPr>
        <w:t>9. Entire Agreement  </w:t>
      </w:r>
    </w:p>
    <w:p w14:paraId="7E6644E9"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Segoe UI" w:eastAsia="Times New Roman" w:hAnsi="Segoe UI" w:cs="Segoe UI"/>
          <w:kern w:val="0"/>
          <w:sz w:val="20"/>
          <w:szCs w:val="20"/>
          <w14:ligatures w14:val="none"/>
        </w:rPr>
        <w:t>In conjunction with a fully executed Contract and any Related Agreements, this Agreement constitutes the entire agreement and understanding between the parties regarding the subject matter hereof, and supersedes and merges all prior proposals, understandings and agreements, oral or written, between the parties relating to the subject matter hereof, including without limitation, the terms of any request for proposal issued to the Client or the standard printed terms on any purchase order issued by the Client. No modification, amendment, supplement to or waiver of this Agreement, including any Contract, shall be binding upon the parties unless made in writing and duly signed by both parties. </w:t>
      </w:r>
      <w:r w:rsidRPr="00A64162">
        <w:rPr>
          <w:rFonts w:ascii="Segoe UI" w:eastAsia="Times New Roman" w:hAnsi="Segoe UI" w:cs="Segoe UI"/>
          <w:kern w:val="0"/>
          <w:sz w:val="20"/>
          <w:szCs w:val="20"/>
          <w14:ligatures w14:val="none"/>
        </w:rPr>
        <w:br/>
        <w:t> </w:t>
      </w:r>
      <w:r w:rsidRPr="00A64162">
        <w:rPr>
          <w:rFonts w:ascii="Segoe UI" w:eastAsia="Times New Roman" w:hAnsi="Segoe UI" w:cs="Segoe UI"/>
          <w:kern w:val="0"/>
          <w14:ligatures w14:val="none"/>
        </w:rPr>
        <w:t>  </w:t>
      </w:r>
    </w:p>
    <w:p w14:paraId="346E8B11" w14:textId="77777777" w:rsidR="00A64162" w:rsidRPr="00A64162" w:rsidRDefault="00A64162" w:rsidP="00A64162">
      <w:pPr>
        <w:spacing w:after="0" w:line="240" w:lineRule="auto"/>
        <w:textAlignment w:val="baseline"/>
        <w:rPr>
          <w:rFonts w:ascii="Segoe UI" w:eastAsia="Times New Roman" w:hAnsi="Segoe UI" w:cs="Segoe UI"/>
          <w:color w:val="365F91"/>
          <w:kern w:val="0"/>
          <w:sz w:val="18"/>
          <w:szCs w:val="18"/>
          <w14:ligatures w14:val="none"/>
        </w:rPr>
      </w:pPr>
      <w:r w:rsidRPr="00A64162">
        <w:rPr>
          <w:rFonts w:ascii="Cambria" w:eastAsia="Times New Roman" w:hAnsi="Cambria" w:cs="Segoe UI"/>
          <w:color w:val="365F91"/>
          <w:kern w:val="0"/>
          <w:sz w:val="32"/>
          <w:szCs w:val="32"/>
          <w14:ligatures w14:val="none"/>
        </w:rPr>
        <w:t>9.1 Counterparts  </w:t>
      </w:r>
    </w:p>
    <w:p w14:paraId="0FD9DEB9" w14:textId="77777777" w:rsidR="00A64162" w:rsidRPr="00A64162" w:rsidRDefault="00A64162" w:rsidP="00A64162">
      <w:pPr>
        <w:spacing w:after="0" w:line="240" w:lineRule="auto"/>
        <w:textAlignment w:val="baseline"/>
        <w:rPr>
          <w:rFonts w:ascii="Segoe UI" w:eastAsia="Times New Roman" w:hAnsi="Segoe UI" w:cs="Segoe UI"/>
          <w:color w:val="000000"/>
          <w:kern w:val="0"/>
          <w:sz w:val="18"/>
          <w:szCs w:val="18"/>
          <w14:ligatures w14:val="none"/>
        </w:rPr>
      </w:pPr>
      <w:r w:rsidRPr="00A64162">
        <w:rPr>
          <w:rFonts w:ascii="Segoe UI" w:eastAsia="Times New Roman" w:hAnsi="Segoe UI" w:cs="Segoe UI"/>
          <w:color w:val="000000"/>
          <w:kern w:val="0"/>
          <w:sz w:val="20"/>
          <w:szCs w:val="20"/>
          <w14:ligatures w14:val="none"/>
        </w:rPr>
        <w:t>This Agreement and any Related Agreement may be executed in one or more counterparts, each of which shall be deemed an original and all of which taken together shall constitute one and the same instrument. </w:t>
      </w:r>
    </w:p>
    <w:p w14:paraId="344226FD" w14:textId="77777777" w:rsidR="00A64162" w:rsidRPr="00A64162" w:rsidRDefault="00A64162" w:rsidP="00A64162">
      <w:pPr>
        <w:spacing w:after="0" w:line="240" w:lineRule="auto"/>
        <w:textAlignment w:val="baseline"/>
        <w:rPr>
          <w:rFonts w:ascii="Segoe UI" w:eastAsia="Times New Roman" w:hAnsi="Segoe UI" w:cs="Segoe UI"/>
          <w:kern w:val="0"/>
          <w:sz w:val="18"/>
          <w:szCs w:val="18"/>
          <w14:ligatures w14:val="none"/>
        </w:rPr>
      </w:pPr>
      <w:r w:rsidRPr="00A64162">
        <w:rPr>
          <w:rFonts w:ascii="Calibri" w:eastAsia="Times New Roman" w:hAnsi="Calibri" w:cs="Calibri"/>
          <w:kern w:val="0"/>
          <w14:ligatures w14:val="none"/>
        </w:rPr>
        <w:t> </w:t>
      </w:r>
    </w:p>
    <w:p w14:paraId="14BAFC45" w14:textId="77777777" w:rsidR="00250DA5" w:rsidRDefault="00250DA5" w:rsidP="00A64162">
      <w:pPr>
        <w:pStyle w:val="paragraph"/>
        <w:spacing w:before="0" w:beforeAutospacing="0" w:after="0" w:afterAutospacing="0"/>
        <w:jc w:val="both"/>
        <w:textAlignment w:val="baseline"/>
      </w:pPr>
    </w:p>
    <w:sectPr w:rsidR="00250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F74EB"/>
    <w:multiLevelType w:val="hybridMultilevel"/>
    <w:tmpl w:val="43EAC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AA3E86"/>
    <w:multiLevelType w:val="hybridMultilevel"/>
    <w:tmpl w:val="AA6EA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B844C5"/>
    <w:multiLevelType w:val="hybridMultilevel"/>
    <w:tmpl w:val="5D9E1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BB20AD"/>
    <w:multiLevelType w:val="hybridMultilevel"/>
    <w:tmpl w:val="AC303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EB42F2"/>
    <w:multiLevelType w:val="hybridMultilevel"/>
    <w:tmpl w:val="DCD0A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0D7F99"/>
    <w:multiLevelType w:val="hybridMultilevel"/>
    <w:tmpl w:val="11683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0A4383"/>
    <w:multiLevelType w:val="hybridMultilevel"/>
    <w:tmpl w:val="FC5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753054">
    <w:abstractNumId w:val="5"/>
  </w:num>
  <w:num w:numId="2" w16cid:durableId="764033942">
    <w:abstractNumId w:val="2"/>
  </w:num>
  <w:num w:numId="3" w16cid:durableId="5258766">
    <w:abstractNumId w:val="4"/>
  </w:num>
  <w:num w:numId="4" w16cid:durableId="1456606837">
    <w:abstractNumId w:val="1"/>
  </w:num>
  <w:num w:numId="5" w16cid:durableId="2058896895">
    <w:abstractNumId w:val="6"/>
  </w:num>
  <w:num w:numId="6" w16cid:durableId="1924296395">
    <w:abstractNumId w:val="0"/>
  </w:num>
  <w:num w:numId="7" w16cid:durableId="2032293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B2F"/>
    <w:rsid w:val="0006178F"/>
    <w:rsid w:val="00250DA5"/>
    <w:rsid w:val="002E19AD"/>
    <w:rsid w:val="00421FEC"/>
    <w:rsid w:val="00436C52"/>
    <w:rsid w:val="00446941"/>
    <w:rsid w:val="004D07AD"/>
    <w:rsid w:val="00601EDB"/>
    <w:rsid w:val="00696D57"/>
    <w:rsid w:val="00757830"/>
    <w:rsid w:val="00807572"/>
    <w:rsid w:val="009360D8"/>
    <w:rsid w:val="0099442D"/>
    <w:rsid w:val="00A64162"/>
    <w:rsid w:val="00A7547C"/>
    <w:rsid w:val="00AA0C62"/>
    <w:rsid w:val="00AA5348"/>
    <w:rsid w:val="00B944EB"/>
    <w:rsid w:val="00E370C8"/>
    <w:rsid w:val="00ED6B2F"/>
    <w:rsid w:val="00F65F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031D"/>
  <w15:chartTrackingRefBased/>
  <w15:docId w15:val="{1CCF564F-09F8-461E-B3A6-469CC12ED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B2F"/>
    <w:pPr>
      <w:spacing w:after="160" w:line="278" w:lineRule="auto"/>
    </w:pPr>
    <w:rPr>
      <w:rFonts w:eastAsiaTheme="minorEastAsia"/>
      <w:sz w:val="24"/>
      <w:szCs w:val="24"/>
    </w:rPr>
  </w:style>
  <w:style w:type="paragraph" w:styleId="Heading1">
    <w:name w:val="heading 1"/>
    <w:basedOn w:val="Normal"/>
    <w:next w:val="Normal"/>
    <w:link w:val="Heading1Char"/>
    <w:uiPriority w:val="9"/>
    <w:qFormat/>
    <w:rsid w:val="00ED6B2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D6B2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D6B2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6B2F"/>
    <w:pPr>
      <w:keepNext/>
      <w:keepLines/>
      <w:spacing w:before="8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6B2F"/>
    <w:pPr>
      <w:keepNext/>
      <w:keepLines/>
      <w:spacing w:before="8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6B2F"/>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B2F"/>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3">
    <w:name w:val="h3"/>
    <w:basedOn w:val="Normal"/>
    <w:link w:val="h3Char"/>
    <w:autoRedefine/>
    <w:qFormat/>
    <w:rsid w:val="0006178F"/>
    <w:pPr>
      <w:jc w:val="both"/>
    </w:pPr>
    <w:rPr>
      <w:rFonts w:cs="Segoe UI"/>
      <w:b/>
    </w:rPr>
  </w:style>
  <w:style w:type="character" w:customStyle="1" w:styleId="h3Char">
    <w:name w:val="h3 Char"/>
    <w:basedOn w:val="DefaultParagraphFont"/>
    <w:link w:val="h3"/>
    <w:rsid w:val="0006178F"/>
    <w:rPr>
      <w:rFonts w:ascii="Segoe UI" w:hAnsi="Segoe UI" w:cs="Segoe UI"/>
      <w:b/>
      <w:sz w:val="20"/>
      <w:szCs w:val="20"/>
    </w:rPr>
  </w:style>
  <w:style w:type="character" w:customStyle="1" w:styleId="Heading1Char">
    <w:name w:val="Heading 1 Char"/>
    <w:basedOn w:val="DefaultParagraphFont"/>
    <w:link w:val="Heading1"/>
    <w:uiPriority w:val="9"/>
    <w:rsid w:val="00ED6B2F"/>
    <w:rPr>
      <w:rFonts w:asciiTheme="majorHAnsi" w:eastAsiaTheme="majorEastAsia" w:hAnsiTheme="majorHAnsi" w:cstheme="majorBidi"/>
      <w:color w:val="365F91" w:themeColor="accent1" w:themeShade="BF"/>
      <w:kern w:val="0"/>
      <w:sz w:val="40"/>
      <w:szCs w:val="40"/>
    </w:rPr>
  </w:style>
  <w:style w:type="character" w:customStyle="1" w:styleId="Heading2Char">
    <w:name w:val="Heading 2 Char"/>
    <w:basedOn w:val="DefaultParagraphFont"/>
    <w:link w:val="Heading2"/>
    <w:uiPriority w:val="9"/>
    <w:rsid w:val="00ED6B2F"/>
    <w:rPr>
      <w:rFonts w:asciiTheme="majorHAnsi" w:eastAsiaTheme="majorEastAsia" w:hAnsiTheme="majorHAnsi" w:cstheme="majorBidi"/>
      <w:color w:val="365F91" w:themeColor="accent1" w:themeShade="BF"/>
      <w:kern w:val="0"/>
      <w:sz w:val="32"/>
      <w:szCs w:val="32"/>
    </w:rPr>
  </w:style>
  <w:style w:type="character" w:customStyle="1" w:styleId="Heading3Char">
    <w:name w:val="Heading 3 Char"/>
    <w:basedOn w:val="DefaultParagraphFont"/>
    <w:link w:val="Heading3"/>
    <w:uiPriority w:val="9"/>
    <w:rsid w:val="00ED6B2F"/>
    <w:rPr>
      <w:rFonts w:eastAsiaTheme="majorEastAsia" w:cstheme="majorBidi"/>
      <w:color w:val="365F91" w:themeColor="accent1" w:themeShade="BF"/>
      <w:kern w:val="0"/>
      <w:sz w:val="28"/>
      <w:szCs w:val="28"/>
    </w:rPr>
  </w:style>
  <w:style w:type="character" w:customStyle="1" w:styleId="Heading4Char">
    <w:name w:val="Heading 4 Char"/>
    <w:basedOn w:val="DefaultParagraphFont"/>
    <w:link w:val="Heading4"/>
    <w:uiPriority w:val="9"/>
    <w:semiHidden/>
    <w:rsid w:val="00ED6B2F"/>
    <w:rPr>
      <w:rFonts w:eastAsiaTheme="majorEastAsia" w:cstheme="majorBidi"/>
      <w:i/>
      <w:iCs/>
      <w:color w:val="365F91" w:themeColor="accent1" w:themeShade="BF"/>
      <w:kern w:val="0"/>
      <w:sz w:val="20"/>
      <w:szCs w:val="20"/>
    </w:rPr>
  </w:style>
  <w:style w:type="character" w:customStyle="1" w:styleId="Heading5Char">
    <w:name w:val="Heading 5 Char"/>
    <w:basedOn w:val="DefaultParagraphFont"/>
    <w:link w:val="Heading5"/>
    <w:uiPriority w:val="9"/>
    <w:semiHidden/>
    <w:rsid w:val="00ED6B2F"/>
    <w:rPr>
      <w:rFonts w:eastAsiaTheme="majorEastAsia" w:cstheme="majorBidi"/>
      <w:color w:val="365F91" w:themeColor="accent1" w:themeShade="BF"/>
      <w:kern w:val="0"/>
      <w:sz w:val="20"/>
      <w:szCs w:val="20"/>
    </w:rPr>
  </w:style>
  <w:style w:type="character" w:customStyle="1" w:styleId="Heading6Char">
    <w:name w:val="Heading 6 Char"/>
    <w:basedOn w:val="DefaultParagraphFont"/>
    <w:link w:val="Heading6"/>
    <w:uiPriority w:val="9"/>
    <w:semiHidden/>
    <w:rsid w:val="00ED6B2F"/>
    <w:rPr>
      <w:rFonts w:eastAsiaTheme="majorEastAsia" w:cstheme="majorBidi"/>
      <w:i/>
      <w:iCs/>
      <w:color w:val="595959" w:themeColor="text1" w:themeTint="A6"/>
      <w:kern w:val="0"/>
      <w:sz w:val="20"/>
      <w:szCs w:val="20"/>
    </w:rPr>
  </w:style>
  <w:style w:type="character" w:customStyle="1" w:styleId="Heading7Char">
    <w:name w:val="Heading 7 Char"/>
    <w:basedOn w:val="DefaultParagraphFont"/>
    <w:link w:val="Heading7"/>
    <w:uiPriority w:val="9"/>
    <w:semiHidden/>
    <w:rsid w:val="00ED6B2F"/>
    <w:rPr>
      <w:rFonts w:eastAsiaTheme="majorEastAsia" w:cstheme="majorBidi"/>
      <w:color w:val="595959" w:themeColor="text1" w:themeTint="A6"/>
      <w:kern w:val="0"/>
      <w:sz w:val="20"/>
      <w:szCs w:val="20"/>
    </w:rPr>
  </w:style>
  <w:style w:type="character" w:customStyle="1" w:styleId="Heading8Char">
    <w:name w:val="Heading 8 Char"/>
    <w:basedOn w:val="DefaultParagraphFont"/>
    <w:link w:val="Heading8"/>
    <w:uiPriority w:val="9"/>
    <w:semiHidden/>
    <w:rsid w:val="00ED6B2F"/>
    <w:rPr>
      <w:rFonts w:eastAsiaTheme="majorEastAsia" w:cstheme="majorBidi"/>
      <w:i/>
      <w:iCs/>
      <w:color w:val="272727" w:themeColor="text1" w:themeTint="D8"/>
      <w:kern w:val="0"/>
      <w:sz w:val="20"/>
      <w:szCs w:val="20"/>
    </w:rPr>
  </w:style>
  <w:style w:type="character" w:customStyle="1" w:styleId="Heading9Char">
    <w:name w:val="Heading 9 Char"/>
    <w:basedOn w:val="DefaultParagraphFont"/>
    <w:link w:val="Heading9"/>
    <w:uiPriority w:val="9"/>
    <w:semiHidden/>
    <w:rsid w:val="00ED6B2F"/>
    <w:rPr>
      <w:rFonts w:eastAsiaTheme="majorEastAsia" w:cstheme="majorBidi"/>
      <w:color w:val="272727" w:themeColor="text1" w:themeTint="D8"/>
      <w:kern w:val="0"/>
      <w:sz w:val="20"/>
      <w:szCs w:val="20"/>
    </w:rPr>
  </w:style>
  <w:style w:type="paragraph" w:styleId="Title">
    <w:name w:val="Title"/>
    <w:basedOn w:val="Normal"/>
    <w:next w:val="Normal"/>
    <w:link w:val="TitleChar"/>
    <w:uiPriority w:val="10"/>
    <w:qFormat/>
    <w:rsid w:val="00ED6B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B2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ED6B2F"/>
    <w:pPr>
      <w:spacing w:before="160"/>
      <w:jc w:val="center"/>
    </w:pPr>
    <w:rPr>
      <w:i/>
      <w:iCs/>
      <w:color w:val="404040" w:themeColor="text1" w:themeTint="BF"/>
    </w:rPr>
  </w:style>
  <w:style w:type="character" w:customStyle="1" w:styleId="QuoteChar">
    <w:name w:val="Quote Char"/>
    <w:basedOn w:val="DefaultParagraphFont"/>
    <w:link w:val="Quote"/>
    <w:uiPriority w:val="29"/>
    <w:rsid w:val="00ED6B2F"/>
    <w:rPr>
      <w:rFonts w:ascii="Segoe UI" w:hAnsi="Segoe UI" w:cs="Times New Roman"/>
      <w:i/>
      <w:iCs/>
      <w:color w:val="404040" w:themeColor="text1" w:themeTint="BF"/>
      <w:kern w:val="0"/>
      <w:sz w:val="20"/>
      <w:szCs w:val="20"/>
    </w:rPr>
  </w:style>
  <w:style w:type="paragraph" w:styleId="ListParagraph">
    <w:name w:val="List Paragraph"/>
    <w:basedOn w:val="Normal"/>
    <w:uiPriority w:val="34"/>
    <w:qFormat/>
    <w:rsid w:val="00ED6B2F"/>
    <w:pPr>
      <w:ind w:left="720"/>
      <w:contextualSpacing/>
    </w:pPr>
  </w:style>
  <w:style w:type="character" w:styleId="IntenseEmphasis">
    <w:name w:val="Intense Emphasis"/>
    <w:basedOn w:val="DefaultParagraphFont"/>
    <w:uiPriority w:val="21"/>
    <w:qFormat/>
    <w:rsid w:val="00ED6B2F"/>
    <w:rPr>
      <w:i/>
      <w:iCs/>
      <w:color w:val="365F91" w:themeColor="accent1" w:themeShade="BF"/>
    </w:rPr>
  </w:style>
  <w:style w:type="paragraph" w:styleId="IntenseQuote">
    <w:name w:val="Intense Quote"/>
    <w:basedOn w:val="Normal"/>
    <w:next w:val="Normal"/>
    <w:link w:val="IntenseQuoteChar"/>
    <w:uiPriority w:val="30"/>
    <w:qFormat/>
    <w:rsid w:val="00ED6B2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6B2F"/>
    <w:rPr>
      <w:rFonts w:ascii="Segoe UI" w:hAnsi="Segoe UI" w:cs="Times New Roman"/>
      <w:i/>
      <w:iCs/>
      <w:color w:val="365F91" w:themeColor="accent1" w:themeShade="BF"/>
      <w:kern w:val="0"/>
      <w:sz w:val="20"/>
      <w:szCs w:val="20"/>
    </w:rPr>
  </w:style>
  <w:style w:type="character" w:styleId="IntenseReference">
    <w:name w:val="Intense Reference"/>
    <w:basedOn w:val="DefaultParagraphFont"/>
    <w:uiPriority w:val="32"/>
    <w:qFormat/>
    <w:rsid w:val="00ED6B2F"/>
    <w:rPr>
      <w:b/>
      <w:bCs/>
      <w:smallCaps/>
      <w:color w:val="365F91" w:themeColor="accent1" w:themeShade="BF"/>
      <w:spacing w:val="5"/>
    </w:rPr>
  </w:style>
  <w:style w:type="paragraph" w:customStyle="1" w:styleId="paragraph">
    <w:name w:val="paragraph"/>
    <w:basedOn w:val="Normal"/>
    <w:rsid w:val="00ED6B2F"/>
    <w:pPr>
      <w:spacing w:before="100" w:beforeAutospacing="1" w:after="100" w:afterAutospacing="1" w:line="240" w:lineRule="auto"/>
    </w:pPr>
    <w:rPr>
      <w:rFonts w:ascii="Times New Roman" w:eastAsia="Times New Roman" w:hAnsi="Times New Roman" w:cs="Times New Roman"/>
      <w:kern w:val="0"/>
    </w:rPr>
  </w:style>
  <w:style w:type="character" w:customStyle="1" w:styleId="contentcontrolboundarysink">
    <w:name w:val="contentcontrolboundarysink"/>
    <w:basedOn w:val="DefaultParagraphFont"/>
    <w:rsid w:val="00ED6B2F"/>
  </w:style>
  <w:style w:type="character" w:customStyle="1" w:styleId="normaltextrun">
    <w:name w:val="normaltextrun"/>
    <w:basedOn w:val="DefaultParagraphFont"/>
    <w:rsid w:val="00ED6B2F"/>
  </w:style>
  <w:style w:type="character" w:customStyle="1" w:styleId="scxw82211177">
    <w:name w:val="scxw82211177"/>
    <w:basedOn w:val="DefaultParagraphFont"/>
    <w:rsid w:val="00ED6B2F"/>
  </w:style>
  <w:style w:type="character" w:customStyle="1" w:styleId="eop">
    <w:name w:val="eop"/>
    <w:basedOn w:val="DefaultParagraphFont"/>
    <w:rsid w:val="00ED6B2F"/>
  </w:style>
  <w:style w:type="paragraph" w:customStyle="1" w:styleId="Default">
    <w:name w:val="Default"/>
    <w:rsid w:val="00ED6B2F"/>
    <w:pPr>
      <w:autoSpaceDE w:val="0"/>
      <w:autoSpaceDN w:val="0"/>
      <w:adjustRightInd w:val="0"/>
      <w:spacing w:after="0" w:line="240" w:lineRule="auto"/>
    </w:pPr>
    <w:rPr>
      <w:rFonts w:ascii="Franklin Gothic Medium" w:eastAsiaTheme="minorHAnsi" w:hAnsi="Franklin Gothic Medium" w:cs="Franklin Gothic Medium"/>
      <w:color w:val="000000"/>
      <w:kern w:val="0"/>
      <w:sz w:val="24"/>
      <w:szCs w:val="24"/>
    </w:rPr>
  </w:style>
  <w:style w:type="paragraph" w:styleId="BodyText">
    <w:name w:val="Body Text"/>
    <w:link w:val="BodyTextChar"/>
    <w:uiPriority w:val="99"/>
    <w:unhideWhenUsed/>
    <w:rsid w:val="00ED6B2F"/>
    <w:pPr>
      <w:spacing w:before="120" w:after="120" w:line="264" w:lineRule="auto"/>
    </w:pPr>
    <w:rPr>
      <w:rFonts w:eastAsiaTheme="minorHAnsi"/>
      <w:color w:val="000000" w:themeColor="text1"/>
      <w:kern w:val="0"/>
    </w:rPr>
  </w:style>
  <w:style w:type="character" w:customStyle="1" w:styleId="BodyTextChar">
    <w:name w:val="Body Text Char"/>
    <w:basedOn w:val="DefaultParagraphFont"/>
    <w:link w:val="BodyText"/>
    <w:uiPriority w:val="99"/>
    <w:rsid w:val="00ED6B2F"/>
    <w:rPr>
      <w:rFonts w:eastAsiaTheme="minorHAnsi"/>
      <w:color w:val="000000" w:themeColor="text1"/>
      <w:kern w:val="0"/>
    </w:rPr>
  </w:style>
  <w:style w:type="paragraph" w:customStyle="1" w:styleId="TableParagraph">
    <w:name w:val="Table Paragraph"/>
    <w:basedOn w:val="Normal"/>
    <w:uiPriority w:val="1"/>
    <w:qFormat/>
    <w:rsid w:val="00421FEC"/>
    <w:pPr>
      <w:widowControl w:val="0"/>
      <w:autoSpaceDE w:val="0"/>
      <w:autoSpaceDN w:val="0"/>
      <w:spacing w:after="0" w:line="240" w:lineRule="auto"/>
      <w:jc w:val="center"/>
    </w:pPr>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941F2F72988C41B070B6B1F1D79328" ma:contentTypeVersion="13" ma:contentTypeDescription="Create a new document." ma:contentTypeScope="" ma:versionID="b342b357369338cfe6d1a797f3ca5d43">
  <xsd:schema xmlns:xsd="http://www.w3.org/2001/XMLSchema" xmlns:xs="http://www.w3.org/2001/XMLSchema" xmlns:p="http://schemas.microsoft.com/office/2006/metadata/properties" xmlns:ns2="f8512746-8c7d-4132-b384-43d945dcc90f" xmlns:ns3="f114d4fb-11ca-46a6-8ce4-a885badf8403" targetNamespace="http://schemas.microsoft.com/office/2006/metadata/properties" ma:root="true" ma:fieldsID="76cb6161bf75ad9f3820631a55c98675" ns2:_="" ns3:_="">
    <xsd:import namespace="f8512746-8c7d-4132-b384-43d945dcc90f"/>
    <xsd:import namespace="f114d4fb-11ca-46a6-8ce4-a885badf84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512746-8c7d-4132-b384-43d945dcc90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046982f-473b-4853-9b9a-bf6ddc1792b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14d4fb-11ca-46a6-8ce4-a885badf84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2dac150-9d9e-45c9-9afc-4784fa831397}" ma:internalName="TaxCatchAll" ma:showField="CatchAllData" ma:web="f114d4fb-11ca-46a6-8ce4-a885badf840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8512746-8c7d-4132-b384-43d945dcc90f">
      <Terms xmlns="http://schemas.microsoft.com/office/infopath/2007/PartnerControls"/>
    </lcf76f155ced4ddcb4097134ff3c332f>
    <TaxCatchAll xmlns="f114d4fb-11ca-46a6-8ce4-a885badf8403" xsi:nil="true"/>
  </documentManagement>
</p:properties>
</file>

<file path=customXml/itemProps1.xml><?xml version="1.0" encoding="utf-8"?>
<ds:datastoreItem xmlns:ds="http://schemas.openxmlformats.org/officeDocument/2006/customXml" ds:itemID="{B88F8F25-88EB-4007-A953-331F1C814B87}"/>
</file>

<file path=customXml/itemProps2.xml><?xml version="1.0" encoding="utf-8"?>
<ds:datastoreItem xmlns:ds="http://schemas.openxmlformats.org/officeDocument/2006/customXml" ds:itemID="{1985A14F-A187-4E4A-815B-8BD6B3835DBB}"/>
</file>

<file path=customXml/itemProps3.xml><?xml version="1.0" encoding="utf-8"?>
<ds:datastoreItem xmlns:ds="http://schemas.openxmlformats.org/officeDocument/2006/customXml" ds:itemID="{E9E2C3C1-81C4-4D40-84D5-82F56E64F4DD}"/>
</file>

<file path=docProps/app.xml><?xml version="1.0" encoding="utf-8"?>
<Properties xmlns="http://schemas.openxmlformats.org/officeDocument/2006/extended-properties" xmlns:vt="http://schemas.openxmlformats.org/officeDocument/2006/docPropsVTypes">
  <Template>Normal</Template>
  <TotalTime>50</TotalTime>
  <Pages>6</Pages>
  <Words>2683</Words>
  <Characters>15299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Rizvi</dc:creator>
  <cp:keywords/>
  <dc:description/>
  <cp:lastModifiedBy>Syed Huzefah</cp:lastModifiedBy>
  <cp:revision>7</cp:revision>
  <dcterms:created xsi:type="dcterms:W3CDTF">2024-09-13T12:55:00Z</dcterms:created>
  <dcterms:modified xsi:type="dcterms:W3CDTF">2025-09-05T15:37:00Z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0x010100B0941F2F72988C41B070B6B1F1D79328</vt:lpwstr>
  </property>
</Properties>
</file>