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D4A2C" w14:textId="786DCB11" w:rsidR="004E7555" w:rsidRDefault="004E7555" w:rsidP="00126A34">
      <w:pPr>
        <w:jc w:val="center"/>
        <w:rPr>
          <w:b/>
          <w:bCs/>
          <w:sz w:val="52"/>
          <w:szCs w:val="52"/>
        </w:rPr>
      </w:pPr>
      <w:r>
        <w:rPr>
          <w:noProof/>
        </w:rPr>
        <w:drawing>
          <wp:inline distT="0" distB="0" distL="0" distR="0" wp14:anchorId="27893150" wp14:editId="7659E57B">
            <wp:extent cx="2277534" cy="676204"/>
            <wp:effectExtent l="0" t="0" r="0" b="0"/>
            <wp:docPr id="41389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0506" cy="694901"/>
                    </a:xfrm>
                    <a:prstGeom prst="rect">
                      <a:avLst/>
                    </a:prstGeom>
                    <a:noFill/>
                    <a:ln>
                      <a:noFill/>
                    </a:ln>
                  </pic:spPr>
                </pic:pic>
              </a:graphicData>
            </a:graphic>
          </wp:inline>
        </w:drawing>
      </w:r>
    </w:p>
    <w:p w14:paraId="71DAD680" w14:textId="77777777" w:rsidR="00160C98" w:rsidRDefault="00160C98" w:rsidP="00160C98">
      <w:pPr>
        <w:jc w:val="center"/>
        <w:rPr>
          <w:sz w:val="52"/>
          <w:szCs w:val="52"/>
        </w:rPr>
      </w:pPr>
      <w:r w:rsidRPr="00160C98">
        <w:rPr>
          <w:sz w:val="52"/>
          <w:szCs w:val="52"/>
        </w:rPr>
        <w:t>The Decisions Regarding Risk Treatment</w:t>
      </w:r>
      <w:r w:rsidRPr="00160C98">
        <w:rPr>
          <w:sz w:val="52"/>
          <w:szCs w:val="52"/>
        </w:rPr>
        <w:t xml:space="preserve"> </w:t>
      </w:r>
    </w:p>
    <w:p w14:paraId="3CDFCA5F" w14:textId="77777777" w:rsidR="00160C98" w:rsidRPr="00160C98" w:rsidRDefault="00160C98" w:rsidP="00160C98">
      <w:pPr>
        <w:pStyle w:val="Heading1"/>
      </w:pPr>
      <w:r w:rsidRPr="00160C98">
        <w:t>1. Introduction</w:t>
      </w:r>
    </w:p>
    <w:p w14:paraId="70637DF8" w14:textId="77777777" w:rsidR="00160C98" w:rsidRPr="00160C98" w:rsidRDefault="00160C98" w:rsidP="00160C98">
      <w:pPr>
        <w:rPr>
          <w:b/>
          <w:bCs/>
        </w:rPr>
      </w:pPr>
      <w:r w:rsidRPr="00160C98">
        <w:rPr>
          <w:b/>
          <w:bCs/>
        </w:rPr>
        <w:t>1.1 Purpose</w:t>
      </w:r>
    </w:p>
    <w:p w14:paraId="33E47CAB" w14:textId="77777777" w:rsidR="00160C98" w:rsidRPr="00160C98" w:rsidRDefault="00160C98" w:rsidP="00160C98">
      <w:r w:rsidRPr="00160C98">
        <w:t>This document provides an overview of the decisions made regarding the treatment of identified information security risks at ABC-FinTech. The decisions are based on the risk assessment results and are in line with the organization’s Information Security Management System (ISMS) and ISO 27001:2022 standards.</w:t>
      </w:r>
    </w:p>
    <w:p w14:paraId="5F8F8369" w14:textId="77777777" w:rsidR="00160C98" w:rsidRPr="00160C98" w:rsidRDefault="00160C98" w:rsidP="00160C98">
      <w:pPr>
        <w:rPr>
          <w:b/>
          <w:bCs/>
        </w:rPr>
      </w:pPr>
      <w:r w:rsidRPr="00160C98">
        <w:rPr>
          <w:b/>
          <w:bCs/>
        </w:rPr>
        <w:t>1.2 Scope</w:t>
      </w:r>
    </w:p>
    <w:p w14:paraId="1FB14470" w14:textId="77777777" w:rsidR="00160C98" w:rsidRPr="00160C98" w:rsidRDefault="00160C98" w:rsidP="00160C98">
      <w:r w:rsidRPr="00160C98">
        <w:t>This document applies to all risks identified during the recent information security risk assessment and outlines the actions taken to mitigate, avoid, transfer, or accept the risks, as well as any decisions related to their treatment.</w:t>
      </w:r>
    </w:p>
    <w:p w14:paraId="56426282" w14:textId="77777777" w:rsidR="00160C98" w:rsidRPr="00160C98" w:rsidRDefault="00160C98" w:rsidP="00160C98">
      <w:pPr>
        <w:pStyle w:val="Heading1"/>
      </w:pPr>
      <w:r w:rsidRPr="00160C98">
        <w:t>2. Scenario: Implementation of Risk Treatment Plan</w:t>
      </w:r>
    </w:p>
    <w:p w14:paraId="4BCA0C23" w14:textId="77777777" w:rsidR="00160C98" w:rsidRPr="00160C98" w:rsidRDefault="00160C98" w:rsidP="00160C98">
      <w:r w:rsidRPr="00160C98">
        <w:t xml:space="preserve">Following the results of the risk assessment, ABC-FinTech’s Information Security Steering Committee held a meeting to review the high-priority risks. This scenario details the decisions made regarding the risk treatment for three key risks: </w:t>
      </w:r>
      <w:r w:rsidRPr="00160C98">
        <w:rPr>
          <w:b/>
          <w:bCs/>
        </w:rPr>
        <w:t>Cyber Attacks (R001)</w:t>
      </w:r>
      <w:r w:rsidRPr="00160C98">
        <w:t xml:space="preserve">, </w:t>
      </w:r>
      <w:r w:rsidRPr="00160C98">
        <w:rPr>
          <w:b/>
          <w:bCs/>
        </w:rPr>
        <w:t>Data Breaches (R002)</w:t>
      </w:r>
      <w:r w:rsidRPr="00160C98">
        <w:t xml:space="preserve">, and </w:t>
      </w:r>
      <w:r w:rsidRPr="00160C98">
        <w:rPr>
          <w:b/>
          <w:bCs/>
        </w:rPr>
        <w:t>Third-Party Vendor Risks (R004)</w:t>
      </w:r>
      <w:r w:rsidRPr="00160C98">
        <w:t>.</w:t>
      </w:r>
    </w:p>
    <w:p w14:paraId="21407EAC" w14:textId="77777777" w:rsidR="00160C98" w:rsidRPr="00160C98" w:rsidRDefault="00160C98" w:rsidP="00160C98">
      <w:pPr>
        <w:rPr>
          <w:b/>
          <w:bCs/>
        </w:rPr>
      </w:pPr>
      <w:r w:rsidRPr="00160C98">
        <w:rPr>
          <w:b/>
          <w:bCs/>
        </w:rPr>
        <w:t>2.1 Risk R001: Cyber Attacks</w:t>
      </w:r>
    </w:p>
    <w:p w14:paraId="42484BCD" w14:textId="77777777" w:rsidR="00160C98" w:rsidRPr="00160C98" w:rsidRDefault="00160C98" w:rsidP="00160C98">
      <w:pPr>
        <w:numPr>
          <w:ilvl w:val="0"/>
          <w:numId w:val="32"/>
        </w:numPr>
      </w:pPr>
      <w:r w:rsidRPr="00160C98">
        <w:rPr>
          <w:b/>
          <w:bCs/>
        </w:rPr>
        <w:t>Risk Description:</w:t>
      </w:r>
      <w:r w:rsidRPr="00160C98">
        <w:t xml:space="preserve"> ABC-FinTech’s public-facing web applications and network infrastructure are at high risk of cyberattacks, including Distributed Denial of Service (DDoS) attacks and phishing campaigns.</w:t>
      </w:r>
    </w:p>
    <w:p w14:paraId="6A90BD9A" w14:textId="77777777" w:rsidR="00160C98" w:rsidRPr="00160C98" w:rsidRDefault="00160C98" w:rsidP="00160C98">
      <w:pPr>
        <w:numPr>
          <w:ilvl w:val="0"/>
          <w:numId w:val="32"/>
        </w:numPr>
      </w:pPr>
      <w:r w:rsidRPr="00160C98">
        <w:rPr>
          <w:b/>
          <w:bCs/>
        </w:rPr>
        <w:t>Risk Level:</w:t>
      </w:r>
      <w:r w:rsidRPr="00160C98">
        <w:t xml:space="preserve"> High</w:t>
      </w:r>
    </w:p>
    <w:p w14:paraId="4DC6BDBF" w14:textId="77777777" w:rsidR="00160C98" w:rsidRPr="00160C98" w:rsidRDefault="00160C98" w:rsidP="00160C98">
      <w:pPr>
        <w:numPr>
          <w:ilvl w:val="0"/>
          <w:numId w:val="32"/>
        </w:numPr>
      </w:pPr>
      <w:r w:rsidRPr="00160C98">
        <w:rPr>
          <w:b/>
          <w:bCs/>
        </w:rPr>
        <w:t>Treatment Option Chosen:</w:t>
      </w:r>
      <w:r w:rsidRPr="00160C98">
        <w:t xml:space="preserve"> Mitigation</w:t>
      </w:r>
    </w:p>
    <w:p w14:paraId="5C6A2B71" w14:textId="77777777" w:rsidR="00160C98" w:rsidRPr="00160C98" w:rsidRDefault="00160C98" w:rsidP="00160C98">
      <w:pPr>
        <w:numPr>
          <w:ilvl w:val="0"/>
          <w:numId w:val="32"/>
        </w:numPr>
      </w:pPr>
      <w:r w:rsidRPr="00160C98">
        <w:rPr>
          <w:b/>
          <w:bCs/>
        </w:rPr>
        <w:t>Decision Rationale:</w:t>
      </w:r>
      <w:r w:rsidRPr="00160C98">
        <w:t xml:space="preserve"> Given the critical nature of ABC-FinTech’s public-facing services, the risk of cyberattacks requires mitigation through enhanced defenses.</w:t>
      </w:r>
    </w:p>
    <w:p w14:paraId="70116CD5" w14:textId="77777777" w:rsidR="00160C98" w:rsidRPr="00160C98" w:rsidRDefault="00160C98" w:rsidP="00160C98">
      <w:pPr>
        <w:rPr>
          <w:b/>
          <w:bCs/>
        </w:rPr>
      </w:pPr>
      <w:r w:rsidRPr="00160C98">
        <w:rPr>
          <w:b/>
          <w:bCs/>
        </w:rPr>
        <w:t>Actions Taken:</w:t>
      </w:r>
    </w:p>
    <w:p w14:paraId="67891EF6" w14:textId="0AF75D00" w:rsidR="00160C98" w:rsidRPr="00160C98" w:rsidRDefault="00160C98" w:rsidP="00160C98">
      <w:pPr>
        <w:numPr>
          <w:ilvl w:val="0"/>
          <w:numId w:val="33"/>
        </w:numPr>
      </w:pPr>
      <w:r w:rsidRPr="00160C98">
        <w:rPr>
          <w:b/>
          <w:bCs/>
        </w:rPr>
        <w:t>Implement Threat Intelligence Solutions (5.7):</w:t>
      </w:r>
      <w:r w:rsidRPr="00160C98">
        <w:t xml:space="preserve"> The IT Security Team was tasked with implementing an advanced threat intelligence system to detect potential attacks early. This includes monitoring dark web forums and external sources for signs of emerging threats.</w:t>
      </w:r>
    </w:p>
    <w:p w14:paraId="1275BFAD" w14:textId="77777777" w:rsidR="00160C98" w:rsidRPr="00160C98" w:rsidRDefault="00160C98" w:rsidP="00160C98">
      <w:pPr>
        <w:numPr>
          <w:ilvl w:val="1"/>
          <w:numId w:val="33"/>
        </w:numPr>
      </w:pPr>
      <w:r w:rsidRPr="00160C98">
        <w:rPr>
          <w:b/>
          <w:bCs/>
        </w:rPr>
        <w:lastRenderedPageBreak/>
        <w:t>Decision:</w:t>
      </w:r>
      <w:r w:rsidRPr="00160C98">
        <w:t xml:space="preserve"> Allocate budget and resources for implementing a third-party threat intelligence platform.</w:t>
      </w:r>
    </w:p>
    <w:p w14:paraId="4A47106F" w14:textId="77777777" w:rsidR="00160C98" w:rsidRPr="00160C98" w:rsidRDefault="00160C98" w:rsidP="00160C98">
      <w:pPr>
        <w:numPr>
          <w:ilvl w:val="1"/>
          <w:numId w:val="33"/>
        </w:numPr>
      </w:pPr>
      <w:r w:rsidRPr="00160C98">
        <w:rPr>
          <w:b/>
          <w:bCs/>
        </w:rPr>
        <w:t>Responsible Party:</w:t>
      </w:r>
      <w:r w:rsidRPr="00160C98">
        <w:t xml:space="preserve"> CISO</w:t>
      </w:r>
    </w:p>
    <w:p w14:paraId="234E6232" w14:textId="77777777" w:rsidR="00160C98" w:rsidRPr="00160C98" w:rsidRDefault="00160C98" w:rsidP="00160C98">
      <w:pPr>
        <w:numPr>
          <w:ilvl w:val="1"/>
          <w:numId w:val="33"/>
        </w:numPr>
      </w:pPr>
      <w:r w:rsidRPr="00160C98">
        <w:rPr>
          <w:b/>
          <w:bCs/>
        </w:rPr>
        <w:t>Target Date:</w:t>
      </w:r>
      <w:r w:rsidRPr="00160C98">
        <w:t xml:space="preserve"> Q2 2024</w:t>
      </w:r>
    </w:p>
    <w:p w14:paraId="1119D2E9" w14:textId="36A2E4AA" w:rsidR="00160C98" w:rsidRPr="00160C98" w:rsidRDefault="00160C98" w:rsidP="00160C98">
      <w:pPr>
        <w:numPr>
          <w:ilvl w:val="0"/>
          <w:numId w:val="33"/>
        </w:numPr>
      </w:pPr>
      <w:r w:rsidRPr="00160C98">
        <w:rPr>
          <w:b/>
          <w:bCs/>
        </w:rPr>
        <w:t>Upgrade Firewall and IDS/IPS Systems (</w:t>
      </w:r>
      <w:r>
        <w:rPr>
          <w:b/>
          <w:bCs/>
        </w:rPr>
        <w:t>8.20</w:t>
      </w:r>
      <w:r w:rsidRPr="00160C98">
        <w:rPr>
          <w:b/>
          <w:bCs/>
        </w:rPr>
        <w:t>):</w:t>
      </w:r>
      <w:r w:rsidRPr="00160C98">
        <w:t xml:space="preserve"> The current network defenses were deemed insufficient to prevent large-scale DDoS attacks and targeted phishing attempts. As a result, the firewall and Intrusion Detection/Prevention Systems (IDS/IPS) were upgraded.</w:t>
      </w:r>
    </w:p>
    <w:p w14:paraId="26BCF7B5" w14:textId="77777777" w:rsidR="00160C98" w:rsidRPr="00160C98" w:rsidRDefault="00160C98" w:rsidP="00160C98">
      <w:pPr>
        <w:numPr>
          <w:ilvl w:val="1"/>
          <w:numId w:val="33"/>
        </w:numPr>
      </w:pPr>
      <w:r w:rsidRPr="00160C98">
        <w:rPr>
          <w:b/>
          <w:bCs/>
        </w:rPr>
        <w:t>Decision:</w:t>
      </w:r>
      <w:r w:rsidRPr="00160C98">
        <w:t xml:space="preserve"> Purchase and deploy a next-generation firewall solution, and upgrade the IDS/IPS systems.</w:t>
      </w:r>
    </w:p>
    <w:p w14:paraId="3A77A409" w14:textId="77777777" w:rsidR="00160C98" w:rsidRPr="00160C98" w:rsidRDefault="00160C98" w:rsidP="00160C98">
      <w:pPr>
        <w:numPr>
          <w:ilvl w:val="1"/>
          <w:numId w:val="33"/>
        </w:numPr>
      </w:pPr>
      <w:r w:rsidRPr="00160C98">
        <w:rPr>
          <w:b/>
          <w:bCs/>
        </w:rPr>
        <w:t>Responsible Party:</w:t>
      </w:r>
      <w:r w:rsidRPr="00160C98">
        <w:t xml:space="preserve"> IT Security Team</w:t>
      </w:r>
    </w:p>
    <w:p w14:paraId="1ADCB979" w14:textId="77777777" w:rsidR="00160C98" w:rsidRPr="00160C98" w:rsidRDefault="00160C98" w:rsidP="00160C98">
      <w:pPr>
        <w:numPr>
          <w:ilvl w:val="1"/>
          <w:numId w:val="33"/>
        </w:numPr>
      </w:pPr>
      <w:r w:rsidRPr="00160C98">
        <w:rPr>
          <w:b/>
          <w:bCs/>
        </w:rPr>
        <w:t>Target Date:</w:t>
      </w:r>
      <w:r w:rsidRPr="00160C98">
        <w:t xml:space="preserve"> Q1 2024</w:t>
      </w:r>
    </w:p>
    <w:p w14:paraId="20C42662" w14:textId="1A4B7F05" w:rsidR="00160C98" w:rsidRPr="00160C98" w:rsidRDefault="00160C98" w:rsidP="00160C98">
      <w:pPr>
        <w:numPr>
          <w:ilvl w:val="0"/>
          <w:numId w:val="33"/>
        </w:numPr>
      </w:pPr>
      <w:r w:rsidRPr="00160C98">
        <w:rPr>
          <w:b/>
          <w:bCs/>
        </w:rPr>
        <w:t>Employee Phishing Simulation (</w:t>
      </w:r>
      <w:r>
        <w:rPr>
          <w:b/>
          <w:bCs/>
        </w:rPr>
        <w:t>6.3</w:t>
      </w:r>
      <w:r w:rsidRPr="00160C98">
        <w:rPr>
          <w:b/>
          <w:bCs/>
        </w:rPr>
        <w:t>):</w:t>
      </w:r>
      <w:r w:rsidRPr="00160C98">
        <w:t xml:space="preserve"> To address phishing risks, a phishing simulation program was approved to train employees on how to detect and report phishing attempts.</w:t>
      </w:r>
    </w:p>
    <w:p w14:paraId="200145C3" w14:textId="77777777" w:rsidR="00160C98" w:rsidRPr="00160C98" w:rsidRDefault="00160C98" w:rsidP="00160C98">
      <w:pPr>
        <w:numPr>
          <w:ilvl w:val="1"/>
          <w:numId w:val="33"/>
        </w:numPr>
      </w:pPr>
      <w:r w:rsidRPr="00160C98">
        <w:rPr>
          <w:b/>
          <w:bCs/>
        </w:rPr>
        <w:t>Decision:</w:t>
      </w:r>
      <w:r w:rsidRPr="00160C98">
        <w:t xml:space="preserve"> Conduct quarterly phishing tests for all employees to measure their awareness and response to phishing emails.</w:t>
      </w:r>
    </w:p>
    <w:p w14:paraId="6BDDFA3E" w14:textId="77777777" w:rsidR="00160C98" w:rsidRPr="00160C98" w:rsidRDefault="00160C98" w:rsidP="00160C98">
      <w:pPr>
        <w:numPr>
          <w:ilvl w:val="1"/>
          <w:numId w:val="33"/>
        </w:numPr>
      </w:pPr>
      <w:r w:rsidRPr="00160C98">
        <w:rPr>
          <w:b/>
          <w:bCs/>
        </w:rPr>
        <w:t>Responsible Party:</w:t>
      </w:r>
      <w:r w:rsidRPr="00160C98">
        <w:t xml:space="preserve"> HR, IT Security Team</w:t>
      </w:r>
    </w:p>
    <w:p w14:paraId="3DD60367" w14:textId="77777777" w:rsidR="00160C98" w:rsidRPr="00160C98" w:rsidRDefault="00160C98" w:rsidP="00160C98">
      <w:pPr>
        <w:numPr>
          <w:ilvl w:val="1"/>
          <w:numId w:val="33"/>
        </w:numPr>
      </w:pPr>
      <w:r w:rsidRPr="00160C98">
        <w:rPr>
          <w:b/>
          <w:bCs/>
        </w:rPr>
        <w:t>Target Date:</w:t>
      </w:r>
      <w:r w:rsidRPr="00160C98">
        <w:t xml:space="preserve"> Ongoing</w:t>
      </w:r>
    </w:p>
    <w:p w14:paraId="6DF77DBD" w14:textId="77777777" w:rsidR="00160C98" w:rsidRPr="00160C98" w:rsidRDefault="00160C98" w:rsidP="00160C98">
      <w:pPr>
        <w:rPr>
          <w:b/>
          <w:bCs/>
        </w:rPr>
      </w:pPr>
      <w:r w:rsidRPr="00160C98">
        <w:rPr>
          <w:b/>
          <w:bCs/>
        </w:rPr>
        <w:t>2.2 Risk R002: Data Breaches Due to Insufficient Encryption</w:t>
      </w:r>
    </w:p>
    <w:p w14:paraId="4A9FA097" w14:textId="77777777" w:rsidR="00160C98" w:rsidRPr="00160C98" w:rsidRDefault="00160C98" w:rsidP="00160C98">
      <w:pPr>
        <w:numPr>
          <w:ilvl w:val="0"/>
          <w:numId w:val="34"/>
        </w:numPr>
      </w:pPr>
      <w:r w:rsidRPr="00160C98">
        <w:rPr>
          <w:b/>
          <w:bCs/>
        </w:rPr>
        <w:t>Risk Description:</w:t>
      </w:r>
      <w:r w:rsidRPr="00160C98">
        <w:t xml:space="preserve"> Insufficient encryption practices were identified, exposing customer data stored in databases and in transit over the network.</w:t>
      </w:r>
    </w:p>
    <w:p w14:paraId="68E08E1B" w14:textId="77777777" w:rsidR="00160C98" w:rsidRPr="00160C98" w:rsidRDefault="00160C98" w:rsidP="00160C98">
      <w:pPr>
        <w:numPr>
          <w:ilvl w:val="0"/>
          <w:numId w:val="34"/>
        </w:numPr>
      </w:pPr>
      <w:r w:rsidRPr="00160C98">
        <w:rPr>
          <w:b/>
          <w:bCs/>
        </w:rPr>
        <w:t>Risk Level:</w:t>
      </w:r>
      <w:r w:rsidRPr="00160C98">
        <w:t xml:space="preserve"> High</w:t>
      </w:r>
    </w:p>
    <w:p w14:paraId="09B88611" w14:textId="77777777" w:rsidR="00160C98" w:rsidRPr="00160C98" w:rsidRDefault="00160C98" w:rsidP="00160C98">
      <w:pPr>
        <w:numPr>
          <w:ilvl w:val="0"/>
          <w:numId w:val="34"/>
        </w:numPr>
      </w:pPr>
      <w:r w:rsidRPr="00160C98">
        <w:rPr>
          <w:b/>
          <w:bCs/>
        </w:rPr>
        <w:t>Treatment Option Chosen:</w:t>
      </w:r>
      <w:r w:rsidRPr="00160C98">
        <w:t xml:space="preserve"> Mitigation</w:t>
      </w:r>
    </w:p>
    <w:p w14:paraId="06FBEF01" w14:textId="77777777" w:rsidR="00160C98" w:rsidRPr="00160C98" w:rsidRDefault="00160C98" w:rsidP="00160C98">
      <w:pPr>
        <w:numPr>
          <w:ilvl w:val="0"/>
          <w:numId w:val="34"/>
        </w:numPr>
      </w:pPr>
      <w:r w:rsidRPr="00160C98">
        <w:rPr>
          <w:b/>
          <w:bCs/>
        </w:rPr>
        <w:t>Decision Rationale:</w:t>
      </w:r>
      <w:r w:rsidRPr="00160C98">
        <w:t xml:space="preserve"> Data breaches are a significant concern for ABC-FinTech due to the sensitivity of financial data. Encryption is a critical control to ensure data confidentiality and integrity.</w:t>
      </w:r>
    </w:p>
    <w:p w14:paraId="0A0CAF04" w14:textId="77777777" w:rsidR="00160C98" w:rsidRPr="00160C98" w:rsidRDefault="00160C98" w:rsidP="00160C98">
      <w:pPr>
        <w:rPr>
          <w:b/>
          <w:bCs/>
        </w:rPr>
      </w:pPr>
      <w:r w:rsidRPr="00160C98">
        <w:rPr>
          <w:b/>
          <w:bCs/>
        </w:rPr>
        <w:t>Actions Taken:</w:t>
      </w:r>
    </w:p>
    <w:p w14:paraId="23A2E207" w14:textId="75603329" w:rsidR="00160C98" w:rsidRPr="00160C98" w:rsidRDefault="00160C98" w:rsidP="00160C98">
      <w:pPr>
        <w:numPr>
          <w:ilvl w:val="0"/>
          <w:numId w:val="35"/>
        </w:numPr>
      </w:pPr>
      <w:r w:rsidRPr="00160C98">
        <w:rPr>
          <w:b/>
          <w:bCs/>
        </w:rPr>
        <w:t>Implement AES-256 Encryption (</w:t>
      </w:r>
      <w:r>
        <w:rPr>
          <w:b/>
          <w:bCs/>
        </w:rPr>
        <w:t>8.24</w:t>
      </w:r>
      <w:r w:rsidRPr="00160C98">
        <w:rPr>
          <w:b/>
          <w:bCs/>
        </w:rPr>
        <w:t>):</w:t>
      </w:r>
      <w:r w:rsidRPr="00160C98">
        <w:t xml:space="preserve"> ABC-FinTech decided to standardize AES-256 encryption for all sensitive customer data, both at rest in databases and in transit across the network.</w:t>
      </w:r>
    </w:p>
    <w:p w14:paraId="3AC5FB83" w14:textId="77777777" w:rsidR="00160C98" w:rsidRPr="00160C98" w:rsidRDefault="00160C98" w:rsidP="00160C98">
      <w:pPr>
        <w:numPr>
          <w:ilvl w:val="1"/>
          <w:numId w:val="35"/>
        </w:numPr>
      </w:pPr>
      <w:r w:rsidRPr="00160C98">
        <w:rPr>
          <w:b/>
          <w:bCs/>
        </w:rPr>
        <w:t>Decision:</w:t>
      </w:r>
      <w:r w:rsidRPr="00160C98">
        <w:t xml:space="preserve"> Roll out AES-256 encryption for customer databases, and upgrade SSL/TLS protocols for data in transit.</w:t>
      </w:r>
    </w:p>
    <w:p w14:paraId="584EA9AE" w14:textId="77777777" w:rsidR="00160C98" w:rsidRPr="00160C98" w:rsidRDefault="00160C98" w:rsidP="00160C98">
      <w:pPr>
        <w:numPr>
          <w:ilvl w:val="1"/>
          <w:numId w:val="35"/>
        </w:numPr>
      </w:pPr>
      <w:r w:rsidRPr="00160C98">
        <w:rPr>
          <w:b/>
          <w:bCs/>
        </w:rPr>
        <w:t>Responsible Party:</w:t>
      </w:r>
      <w:r w:rsidRPr="00160C98">
        <w:t xml:space="preserve"> Data Protection Officer (DPO), Database Administrator</w:t>
      </w:r>
    </w:p>
    <w:p w14:paraId="5CD050ED" w14:textId="77777777" w:rsidR="00160C98" w:rsidRPr="00160C98" w:rsidRDefault="00160C98" w:rsidP="00160C98">
      <w:pPr>
        <w:numPr>
          <w:ilvl w:val="1"/>
          <w:numId w:val="35"/>
        </w:numPr>
      </w:pPr>
      <w:r w:rsidRPr="00160C98">
        <w:rPr>
          <w:b/>
          <w:bCs/>
        </w:rPr>
        <w:lastRenderedPageBreak/>
        <w:t>Target Date:</w:t>
      </w:r>
      <w:r w:rsidRPr="00160C98">
        <w:t xml:space="preserve"> Q1 2024 (Completed)</w:t>
      </w:r>
    </w:p>
    <w:p w14:paraId="3EBD7056" w14:textId="0A8104A0" w:rsidR="00160C98" w:rsidRPr="00160C98" w:rsidRDefault="00160C98" w:rsidP="00160C98">
      <w:pPr>
        <w:numPr>
          <w:ilvl w:val="0"/>
          <w:numId w:val="35"/>
        </w:numPr>
      </w:pPr>
      <w:r w:rsidRPr="00160C98">
        <w:rPr>
          <w:b/>
          <w:bCs/>
        </w:rPr>
        <w:t>Encryption Key Management (</w:t>
      </w:r>
      <w:r>
        <w:rPr>
          <w:b/>
          <w:bCs/>
        </w:rPr>
        <w:t>8.24</w:t>
      </w:r>
      <w:r w:rsidRPr="00160C98">
        <w:rPr>
          <w:b/>
          <w:bCs/>
        </w:rPr>
        <w:t>):</w:t>
      </w:r>
      <w:r w:rsidRPr="00160C98">
        <w:t xml:space="preserve"> A key management system was introduced to ensure that encryption keys are stored, rotated, and managed securely.</w:t>
      </w:r>
    </w:p>
    <w:p w14:paraId="048B5DBA" w14:textId="77777777" w:rsidR="00160C98" w:rsidRPr="00160C98" w:rsidRDefault="00160C98" w:rsidP="00160C98">
      <w:pPr>
        <w:numPr>
          <w:ilvl w:val="1"/>
          <w:numId w:val="35"/>
        </w:numPr>
      </w:pPr>
      <w:r w:rsidRPr="00160C98">
        <w:rPr>
          <w:b/>
          <w:bCs/>
        </w:rPr>
        <w:t>Decision:</w:t>
      </w:r>
      <w:r w:rsidRPr="00160C98">
        <w:t xml:space="preserve"> Deploy a centralized key management solution to automate key lifecycle management.</w:t>
      </w:r>
    </w:p>
    <w:p w14:paraId="71974ACF" w14:textId="77777777" w:rsidR="00160C98" w:rsidRPr="00160C98" w:rsidRDefault="00160C98" w:rsidP="00160C98">
      <w:pPr>
        <w:numPr>
          <w:ilvl w:val="1"/>
          <w:numId w:val="35"/>
        </w:numPr>
      </w:pPr>
      <w:r w:rsidRPr="00160C98">
        <w:rPr>
          <w:b/>
          <w:bCs/>
        </w:rPr>
        <w:t>Responsible Party:</w:t>
      </w:r>
      <w:r w:rsidRPr="00160C98">
        <w:t xml:space="preserve"> Database Administrator</w:t>
      </w:r>
    </w:p>
    <w:p w14:paraId="541DE7C6" w14:textId="77777777" w:rsidR="00160C98" w:rsidRPr="00160C98" w:rsidRDefault="00160C98" w:rsidP="00160C98">
      <w:pPr>
        <w:numPr>
          <w:ilvl w:val="1"/>
          <w:numId w:val="35"/>
        </w:numPr>
      </w:pPr>
      <w:r w:rsidRPr="00160C98">
        <w:rPr>
          <w:b/>
          <w:bCs/>
        </w:rPr>
        <w:t>Target Date:</w:t>
      </w:r>
      <w:r w:rsidRPr="00160C98">
        <w:t xml:space="preserve"> Q1 2024 (Completed)</w:t>
      </w:r>
    </w:p>
    <w:p w14:paraId="1A518B72" w14:textId="545E400F" w:rsidR="00160C98" w:rsidRPr="00160C98" w:rsidRDefault="00160C98" w:rsidP="00160C98">
      <w:pPr>
        <w:numPr>
          <w:ilvl w:val="0"/>
          <w:numId w:val="35"/>
        </w:numPr>
      </w:pPr>
      <w:r w:rsidRPr="00160C98">
        <w:rPr>
          <w:b/>
          <w:bCs/>
        </w:rPr>
        <w:t>Regular Encryption Audits (</w:t>
      </w:r>
      <w:r>
        <w:rPr>
          <w:b/>
          <w:bCs/>
        </w:rPr>
        <w:t>5.36</w:t>
      </w:r>
      <w:r w:rsidRPr="00160C98">
        <w:rPr>
          <w:b/>
          <w:bCs/>
        </w:rPr>
        <w:t>):</w:t>
      </w:r>
      <w:r w:rsidRPr="00160C98">
        <w:t xml:space="preserve"> To ensure compliance with the new encryption standards, quarterly audits of encryption practices were introduced.</w:t>
      </w:r>
    </w:p>
    <w:p w14:paraId="455F5933" w14:textId="77777777" w:rsidR="00160C98" w:rsidRPr="00160C98" w:rsidRDefault="00160C98" w:rsidP="00160C98">
      <w:pPr>
        <w:numPr>
          <w:ilvl w:val="1"/>
          <w:numId w:val="35"/>
        </w:numPr>
      </w:pPr>
      <w:r w:rsidRPr="00160C98">
        <w:rPr>
          <w:b/>
          <w:bCs/>
        </w:rPr>
        <w:t>Decision:</w:t>
      </w:r>
      <w:r w:rsidRPr="00160C98">
        <w:t xml:space="preserve"> Conduct encryption audits and report compliance levels to senior management.</w:t>
      </w:r>
    </w:p>
    <w:p w14:paraId="75EDC99F" w14:textId="77777777" w:rsidR="00160C98" w:rsidRPr="00160C98" w:rsidRDefault="00160C98" w:rsidP="00160C98">
      <w:pPr>
        <w:numPr>
          <w:ilvl w:val="1"/>
          <w:numId w:val="35"/>
        </w:numPr>
      </w:pPr>
      <w:r w:rsidRPr="00160C98">
        <w:rPr>
          <w:b/>
          <w:bCs/>
        </w:rPr>
        <w:t>Responsible Party:</w:t>
      </w:r>
      <w:r w:rsidRPr="00160C98">
        <w:t xml:space="preserve"> Data Protection Officer (DPO)</w:t>
      </w:r>
    </w:p>
    <w:p w14:paraId="3E5CDFA2" w14:textId="77777777" w:rsidR="00160C98" w:rsidRPr="00160C98" w:rsidRDefault="00160C98" w:rsidP="00160C98">
      <w:pPr>
        <w:numPr>
          <w:ilvl w:val="1"/>
          <w:numId w:val="35"/>
        </w:numPr>
      </w:pPr>
      <w:r w:rsidRPr="00160C98">
        <w:rPr>
          <w:b/>
          <w:bCs/>
        </w:rPr>
        <w:t>Target Date:</w:t>
      </w:r>
      <w:r w:rsidRPr="00160C98">
        <w:t xml:space="preserve"> Quarterly (Ongoing)</w:t>
      </w:r>
    </w:p>
    <w:p w14:paraId="62AD1213" w14:textId="77777777" w:rsidR="00160C98" w:rsidRPr="00160C98" w:rsidRDefault="00160C98" w:rsidP="00160C98">
      <w:pPr>
        <w:rPr>
          <w:b/>
          <w:bCs/>
        </w:rPr>
      </w:pPr>
      <w:r w:rsidRPr="00160C98">
        <w:rPr>
          <w:b/>
          <w:bCs/>
        </w:rPr>
        <w:t>2.3 Risk R004: Third-Party Vendor Risks</w:t>
      </w:r>
    </w:p>
    <w:p w14:paraId="249B5279" w14:textId="77777777" w:rsidR="00160C98" w:rsidRPr="00160C98" w:rsidRDefault="00160C98" w:rsidP="00160C98">
      <w:pPr>
        <w:numPr>
          <w:ilvl w:val="0"/>
          <w:numId w:val="36"/>
        </w:numPr>
      </w:pPr>
      <w:r w:rsidRPr="00160C98">
        <w:rPr>
          <w:b/>
          <w:bCs/>
        </w:rPr>
        <w:t>Risk Description:</w:t>
      </w:r>
      <w:r w:rsidRPr="00160C98">
        <w:t xml:space="preserve"> ABC-FinTech relies on several third-party vendors, including a payment processing provider. These vendors pose a risk if their security practices are inadequate, potentially exposing ABC-FinTech to data breaches or service interruptions.</w:t>
      </w:r>
    </w:p>
    <w:p w14:paraId="75B7B130" w14:textId="77777777" w:rsidR="00160C98" w:rsidRPr="00160C98" w:rsidRDefault="00160C98" w:rsidP="00160C98">
      <w:pPr>
        <w:numPr>
          <w:ilvl w:val="0"/>
          <w:numId w:val="36"/>
        </w:numPr>
      </w:pPr>
      <w:r w:rsidRPr="00160C98">
        <w:rPr>
          <w:b/>
          <w:bCs/>
        </w:rPr>
        <w:t>Risk Level:</w:t>
      </w:r>
      <w:r w:rsidRPr="00160C98">
        <w:t xml:space="preserve"> High</w:t>
      </w:r>
    </w:p>
    <w:p w14:paraId="23157859" w14:textId="77777777" w:rsidR="00160C98" w:rsidRPr="00160C98" w:rsidRDefault="00160C98" w:rsidP="00160C98">
      <w:pPr>
        <w:numPr>
          <w:ilvl w:val="0"/>
          <w:numId w:val="36"/>
        </w:numPr>
      </w:pPr>
      <w:r w:rsidRPr="00160C98">
        <w:rPr>
          <w:b/>
          <w:bCs/>
        </w:rPr>
        <w:t>Treatment Option Chosen:</w:t>
      </w:r>
      <w:r w:rsidRPr="00160C98">
        <w:t xml:space="preserve"> Mitigation</w:t>
      </w:r>
    </w:p>
    <w:p w14:paraId="09B6B631" w14:textId="77777777" w:rsidR="00160C98" w:rsidRPr="00160C98" w:rsidRDefault="00160C98" w:rsidP="00160C98">
      <w:pPr>
        <w:numPr>
          <w:ilvl w:val="0"/>
          <w:numId w:val="36"/>
        </w:numPr>
      </w:pPr>
      <w:r w:rsidRPr="00160C98">
        <w:rPr>
          <w:b/>
          <w:bCs/>
        </w:rPr>
        <w:t>Decision Rationale:</w:t>
      </w:r>
      <w:r w:rsidRPr="00160C98">
        <w:t xml:space="preserve"> Since outsourcing processes are critical to the business, it is essential to manage third-party risks through rigorous security assessments and contractual agreements.</w:t>
      </w:r>
    </w:p>
    <w:p w14:paraId="417830B2" w14:textId="77777777" w:rsidR="00160C98" w:rsidRPr="00160C98" w:rsidRDefault="00160C98" w:rsidP="00160C98">
      <w:pPr>
        <w:rPr>
          <w:b/>
          <w:bCs/>
        </w:rPr>
      </w:pPr>
      <w:r w:rsidRPr="00160C98">
        <w:rPr>
          <w:b/>
          <w:bCs/>
        </w:rPr>
        <w:t>Actions Taken:</w:t>
      </w:r>
    </w:p>
    <w:p w14:paraId="3AF0EDAA" w14:textId="088D7083" w:rsidR="00160C98" w:rsidRPr="00160C98" w:rsidRDefault="00160C98" w:rsidP="00160C98">
      <w:pPr>
        <w:numPr>
          <w:ilvl w:val="0"/>
          <w:numId w:val="37"/>
        </w:numPr>
      </w:pPr>
      <w:r w:rsidRPr="00160C98">
        <w:rPr>
          <w:b/>
          <w:bCs/>
        </w:rPr>
        <w:t>Vendor Security Assessments (</w:t>
      </w:r>
      <w:r>
        <w:rPr>
          <w:b/>
          <w:bCs/>
        </w:rPr>
        <w:t>5.21</w:t>
      </w:r>
      <w:r w:rsidRPr="00160C98">
        <w:rPr>
          <w:b/>
          <w:bCs/>
        </w:rPr>
        <w:t>):</w:t>
      </w:r>
      <w:r w:rsidRPr="00160C98">
        <w:t xml:space="preserve"> ABC-FinTech decided to conduct comprehensive security assessments for all third-party vendors, focusing on compliance with ISO 27001 and PCI DSS.</w:t>
      </w:r>
    </w:p>
    <w:p w14:paraId="47DA53CC" w14:textId="77777777" w:rsidR="00160C98" w:rsidRPr="00160C98" w:rsidRDefault="00160C98" w:rsidP="00160C98">
      <w:pPr>
        <w:numPr>
          <w:ilvl w:val="1"/>
          <w:numId w:val="37"/>
        </w:numPr>
      </w:pPr>
      <w:r w:rsidRPr="00160C98">
        <w:rPr>
          <w:b/>
          <w:bCs/>
        </w:rPr>
        <w:t>Decision:</w:t>
      </w:r>
      <w:r w:rsidRPr="00160C98">
        <w:t xml:space="preserve"> Establish a formal vendor assessment program and require third-party vendors to undergo annual security audits.</w:t>
      </w:r>
    </w:p>
    <w:p w14:paraId="1DCD8610" w14:textId="77777777" w:rsidR="00160C98" w:rsidRPr="00160C98" w:rsidRDefault="00160C98" w:rsidP="00160C98">
      <w:pPr>
        <w:numPr>
          <w:ilvl w:val="1"/>
          <w:numId w:val="37"/>
        </w:numPr>
      </w:pPr>
      <w:r w:rsidRPr="00160C98">
        <w:rPr>
          <w:b/>
          <w:bCs/>
        </w:rPr>
        <w:t>Responsible Party:</w:t>
      </w:r>
      <w:r w:rsidRPr="00160C98">
        <w:t xml:space="preserve"> Vendor Management Lead</w:t>
      </w:r>
    </w:p>
    <w:p w14:paraId="709CDC31" w14:textId="77777777" w:rsidR="00160C98" w:rsidRPr="00160C98" w:rsidRDefault="00160C98" w:rsidP="00160C98">
      <w:pPr>
        <w:numPr>
          <w:ilvl w:val="1"/>
          <w:numId w:val="37"/>
        </w:numPr>
      </w:pPr>
      <w:r w:rsidRPr="00160C98">
        <w:rPr>
          <w:b/>
          <w:bCs/>
        </w:rPr>
        <w:t>Target Date:</w:t>
      </w:r>
      <w:r w:rsidRPr="00160C98">
        <w:t xml:space="preserve"> Q2 2024 (In Progress)</w:t>
      </w:r>
    </w:p>
    <w:p w14:paraId="4CB82F79" w14:textId="67EED7D8" w:rsidR="00160C98" w:rsidRPr="00160C98" w:rsidRDefault="00160C98" w:rsidP="00160C98">
      <w:pPr>
        <w:numPr>
          <w:ilvl w:val="0"/>
          <w:numId w:val="37"/>
        </w:numPr>
      </w:pPr>
      <w:r w:rsidRPr="00160C98">
        <w:rPr>
          <w:b/>
          <w:bCs/>
        </w:rPr>
        <w:t>Contractual Security Requirements (</w:t>
      </w:r>
      <w:r w:rsidR="00D970C1">
        <w:rPr>
          <w:b/>
          <w:bCs/>
        </w:rPr>
        <w:t>5.20</w:t>
      </w:r>
      <w:r w:rsidRPr="00160C98">
        <w:rPr>
          <w:b/>
          <w:bCs/>
        </w:rPr>
        <w:t>):</w:t>
      </w:r>
      <w:r w:rsidRPr="00160C98">
        <w:t xml:space="preserve"> All contracts with third-party vendors were revised to include specific security requirements, including encryption, incident reporting, and regular audits.</w:t>
      </w:r>
    </w:p>
    <w:p w14:paraId="51020F8B" w14:textId="77777777" w:rsidR="00160C98" w:rsidRPr="00160C98" w:rsidRDefault="00160C98" w:rsidP="00160C98">
      <w:pPr>
        <w:numPr>
          <w:ilvl w:val="1"/>
          <w:numId w:val="37"/>
        </w:numPr>
      </w:pPr>
      <w:r w:rsidRPr="00160C98">
        <w:rPr>
          <w:b/>
          <w:bCs/>
        </w:rPr>
        <w:lastRenderedPageBreak/>
        <w:t>Decision:</w:t>
      </w:r>
      <w:r w:rsidRPr="00160C98">
        <w:t xml:space="preserve"> Update contracts with all vendors to include mandatory security requirements and clauses for breach notification.</w:t>
      </w:r>
    </w:p>
    <w:p w14:paraId="571B387D" w14:textId="77777777" w:rsidR="00160C98" w:rsidRPr="00160C98" w:rsidRDefault="00160C98" w:rsidP="00160C98">
      <w:pPr>
        <w:numPr>
          <w:ilvl w:val="1"/>
          <w:numId w:val="37"/>
        </w:numPr>
      </w:pPr>
      <w:r w:rsidRPr="00160C98">
        <w:rPr>
          <w:b/>
          <w:bCs/>
        </w:rPr>
        <w:t>Responsible Party:</w:t>
      </w:r>
      <w:r w:rsidRPr="00160C98">
        <w:t xml:space="preserve"> Legal Team, Vendor Management Lead</w:t>
      </w:r>
    </w:p>
    <w:p w14:paraId="4A52E9F4" w14:textId="77777777" w:rsidR="00160C98" w:rsidRPr="00160C98" w:rsidRDefault="00160C98" w:rsidP="00160C98">
      <w:pPr>
        <w:numPr>
          <w:ilvl w:val="1"/>
          <w:numId w:val="37"/>
        </w:numPr>
      </w:pPr>
      <w:r w:rsidRPr="00160C98">
        <w:rPr>
          <w:b/>
          <w:bCs/>
        </w:rPr>
        <w:t>Target Date:</w:t>
      </w:r>
      <w:r w:rsidRPr="00160C98">
        <w:t xml:space="preserve"> Q2 2024 (In Progress)</w:t>
      </w:r>
    </w:p>
    <w:p w14:paraId="69E6079C" w14:textId="013D8E5E" w:rsidR="00160C98" w:rsidRPr="00160C98" w:rsidRDefault="00160C98" w:rsidP="00160C98">
      <w:pPr>
        <w:numPr>
          <w:ilvl w:val="0"/>
          <w:numId w:val="37"/>
        </w:numPr>
      </w:pPr>
      <w:r w:rsidRPr="00160C98">
        <w:rPr>
          <w:b/>
          <w:bCs/>
        </w:rPr>
        <w:t>Continuous Vendor Monitoring (</w:t>
      </w:r>
      <w:r w:rsidR="00D970C1">
        <w:rPr>
          <w:b/>
          <w:bCs/>
        </w:rPr>
        <w:t>8.16</w:t>
      </w:r>
      <w:r w:rsidRPr="00160C98">
        <w:rPr>
          <w:b/>
          <w:bCs/>
        </w:rPr>
        <w:t>):</w:t>
      </w:r>
      <w:r w:rsidRPr="00160C98">
        <w:t xml:space="preserve"> A continuous monitoring system was introduced to track the performance and compliance of third-party vendors, including real-time alerts for security incidents.</w:t>
      </w:r>
    </w:p>
    <w:p w14:paraId="38BEE0EF" w14:textId="77777777" w:rsidR="00160C98" w:rsidRPr="00160C98" w:rsidRDefault="00160C98" w:rsidP="00160C98">
      <w:pPr>
        <w:numPr>
          <w:ilvl w:val="1"/>
          <w:numId w:val="37"/>
        </w:numPr>
      </w:pPr>
      <w:r w:rsidRPr="00160C98">
        <w:rPr>
          <w:b/>
          <w:bCs/>
        </w:rPr>
        <w:t>Decision:</w:t>
      </w:r>
      <w:r w:rsidRPr="00160C98">
        <w:t xml:space="preserve"> Implement a vendor monitoring platform to track vendor performance against security metrics.</w:t>
      </w:r>
    </w:p>
    <w:p w14:paraId="0DC814EF" w14:textId="77777777" w:rsidR="00160C98" w:rsidRPr="00160C98" w:rsidRDefault="00160C98" w:rsidP="00160C98">
      <w:pPr>
        <w:numPr>
          <w:ilvl w:val="1"/>
          <w:numId w:val="37"/>
        </w:numPr>
      </w:pPr>
      <w:r w:rsidRPr="00160C98">
        <w:rPr>
          <w:b/>
          <w:bCs/>
        </w:rPr>
        <w:t>Responsible Party:</w:t>
      </w:r>
      <w:r w:rsidRPr="00160C98">
        <w:t xml:space="preserve"> Vendor Management Lead</w:t>
      </w:r>
    </w:p>
    <w:p w14:paraId="4FD7BBB6" w14:textId="77777777" w:rsidR="00160C98" w:rsidRPr="00160C98" w:rsidRDefault="00160C98" w:rsidP="00160C98">
      <w:pPr>
        <w:numPr>
          <w:ilvl w:val="1"/>
          <w:numId w:val="37"/>
        </w:numPr>
      </w:pPr>
      <w:r w:rsidRPr="00160C98">
        <w:rPr>
          <w:b/>
          <w:bCs/>
        </w:rPr>
        <w:t>Target Date:</w:t>
      </w:r>
      <w:r w:rsidRPr="00160C98">
        <w:t xml:space="preserve"> Q3 2024 (Planned)</w:t>
      </w:r>
    </w:p>
    <w:p w14:paraId="695F2CB2" w14:textId="77777777" w:rsidR="00160C98" w:rsidRPr="00160C98" w:rsidRDefault="00160C98" w:rsidP="00160C98">
      <w:pPr>
        <w:pStyle w:val="Heading1"/>
      </w:pPr>
      <w:r w:rsidRPr="00160C98">
        <w:t>3. Monitoring and Review of Risk Treatment</w:t>
      </w:r>
    </w:p>
    <w:p w14:paraId="0342AB0B" w14:textId="77777777" w:rsidR="00160C98" w:rsidRPr="00160C98" w:rsidRDefault="00160C98" w:rsidP="00160C98">
      <w:r w:rsidRPr="00160C98">
        <w:t>To ensure that the risk treatments remain effective, the following monitoring and review mechanisms are in place:</w:t>
      </w:r>
    </w:p>
    <w:tbl>
      <w:tblPr>
        <w:tblStyle w:val="GridTable5Dark-Accent1"/>
        <w:tblW w:w="0" w:type="auto"/>
        <w:tblLook w:val="04A0" w:firstRow="1" w:lastRow="0" w:firstColumn="1" w:lastColumn="0" w:noHBand="0" w:noVBand="1"/>
      </w:tblPr>
      <w:tblGrid>
        <w:gridCol w:w="907"/>
        <w:gridCol w:w="4178"/>
        <w:gridCol w:w="1287"/>
        <w:gridCol w:w="2978"/>
      </w:tblGrid>
      <w:tr w:rsidR="00160C98" w:rsidRPr="00160C98" w14:paraId="6CFFE352" w14:textId="77777777" w:rsidTr="00160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87A92" w14:textId="77777777" w:rsidR="00160C98" w:rsidRPr="00160C98" w:rsidRDefault="00160C98" w:rsidP="00160C98">
            <w:pPr>
              <w:spacing w:after="160" w:line="259" w:lineRule="auto"/>
            </w:pPr>
            <w:r w:rsidRPr="00160C98">
              <w:t>Risk ID</w:t>
            </w:r>
          </w:p>
        </w:tc>
        <w:tc>
          <w:tcPr>
            <w:tcW w:w="0" w:type="auto"/>
            <w:hideMark/>
          </w:tcPr>
          <w:p w14:paraId="6D730802" w14:textId="77777777" w:rsidR="00160C98" w:rsidRPr="00160C98" w:rsidRDefault="00160C98" w:rsidP="00160C98">
            <w:pPr>
              <w:spacing w:after="160" w:line="259" w:lineRule="auto"/>
              <w:cnfStyle w:val="100000000000" w:firstRow="1" w:lastRow="0" w:firstColumn="0" w:lastColumn="0" w:oddVBand="0" w:evenVBand="0" w:oddHBand="0" w:evenHBand="0" w:firstRowFirstColumn="0" w:firstRowLastColumn="0" w:lastRowFirstColumn="0" w:lastRowLastColumn="0"/>
            </w:pPr>
            <w:r w:rsidRPr="00160C98">
              <w:t>Monitoring Method</w:t>
            </w:r>
          </w:p>
        </w:tc>
        <w:tc>
          <w:tcPr>
            <w:tcW w:w="0" w:type="auto"/>
            <w:hideMark/>
          </w:tcPr>
          <w:p w14:paraId="710724D1" w14:textId="77777777" w:rsidR="00160C98" w:rsidRPr="00160C98" w:rsidRDefault="00160C98" w:rsidP="00160C98">
            <w:pPr>
              <w:spacing w:after="160" w:line="259" w:lineRule="auto"/>
              <w:cnfStyle w:val="100000000000" w:firstRow="1" w:lastRow="0" w:firstColumn="0" w:lastColumn="0" w:oddVBand="0" w:evenVBand="0" w:oddHBand="0" w:evenHBand="0" w:firstRowFirstColumn="0" w:firstRowLastColumn="0" w:lastRowFirstColumn="0" w:lastRowLastColumn="0"/>
            </w:pPr>
            <w:r w:rsidRPr="00160C98">
              <w:t>Frequency</w:t>
            </w:r>
          </w:p>
        </w:tc>
        <w:tc>
          <w:tcPr>
            <w:tcW w:w="0" w:type="auto"/>
            <w:hideMark/>
          </w:tcPr>
          <w:p w14:paraId="3A1C5BF0" w14:textId="77777777" w:rsidR="00160C98" w:rsidRPr="00160C98" w:rsidRDefault="00160C98" w:rsidP="00160C98">
            <w:pPr>
              <w:spacing w:after="160" w:line="259" w:lineRule="auto"/>
              <w:cnfStyle w:val="100000000000" w:firstRow="1" w:lastRow="0" w:firstColumn="0" w:lastColumn="0" w:oddVBand="0" w:evenVBand="0" w:oddHBand="0" w:evenHBand="0" w:firstRowFirstColumn="0" w:firstRowLastColumn="0" w:lastRowFirstColumn="0" w:lastRowLastColumn="0"/>
            </w:pPr>
            <w:r w:rsidRPr="00160C98">
              <w:t>Responsible Party</w:t>
            </w:r>
          </w:p>
        </w:tc>
      </w:tr>
      <w:tr w:rsidR="00160C98" w:rsidRPr="00160C98" w14:paraId="32B19FC6" w14:textId="77777777" w:rsidTr="00160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C0B887" w14:textId="77777777" w:rsidR="00160C98" w:rsidRPr="00160C98" w:rsidRDefault="00160C98" w:rsidP="00160C98">
            <w:pPr>
              <w:spacing w:after="160" w:line="259" w:lineRule="auto"/>
            </w:pPr>
            <w:r w:rsidRPr="00160C98">
              <w:t>R001</w:t>
            </w:r>
          </w:p>
        </w:tc>
        <w:tc>
          <w:tcPr>
            <w:tcW w:w="0" w:type="auto"/>
            <w:hideMark/>
          </w:tcPr>
          <w:p w14:paraId="0F73D0B6"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Continuous network and threat monitoring</w:t>
            </w:r>
          </w:p>
        </w:tc>
        <w:tc>
          <w:tcPr>
            <w:tcW w:w="0" w:type="auto"/>
            <w:hideMark/>
          </w:tcPr>
          <w:p w14:paraId="691A9C66"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Daily</w:t>
            </w:r>
          </w:p>
        </w:tc>
        <w:tc>
          <w:tcPr>
            <w:tcW w:w="0" w:type="auto"/>
            <w:hideMark/>
          </w:tcPr>
          <w:p w14:paraId="3CEEDD6E"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IT Security Team</w:t>
            </w:r>
          </w:p>
        </w:tc>
      </w:tr>
      <w:tr w:rsidR="00160C98" w:rsidRPr="00160C98" w14:paraId="65F1EA92" w14:textId="77777777" w:rsidTr="00160C98">
        <w:tc>
          <w:tcPr>
            <w:cnfStyle w:val="001000000000" w:firstRow="0" w:lastRow="0" w:firstColumn="1" w:lastColumn="0" w:oddVBand="0" w:evenVBand="0" w:oddHBand="0" w:evenHBand="0" w:firstRowFirstColumn="0" w:firstRowLastColumn="0" w:lastRowFirstColumn="0" w:lastRowLastColumn="0"/>
            <w:tcW w:w="0" w:type="auto"/>
            <w:hideMark/>
          </w:tcPr>
          <w:p w14:paraId="634B4E76" w14:textId="77777777" w:rsidR="00160C98" w:rsidRPr="00160C98" w:rsidRDefault="00160C98" w:rsidP="00160C98">
            <w:pPr>
              <w:spacing w:after="160" w:line="259" w:lineRule="auto"/>
            </w:pPr>
            <w:r w:rsidRPr="00160C98">
              <w:t>R002</w:t>
            </w:r>
          </w:p>
        </w:tc>
        <w:tc>
          <w:tcPr>
            <w:tcW w:w="0" w:type="auto"/>
            <w:hideMark/>
          </w:tcPr>
          <w:p w14:paraId="5B0DF568" w14:textId="77777777" w:rsidR="00160C98" w:rsidRPr="00160C98" w:rsidRDefault="00160C98" w:rsidP="00160C98">
            <w:pPr>
              <w:spacing w:after="160" w:line="259" w:lineRule="auto"/>
              <w:cnfStyle w:val="000000000000" w:firstRow="0" w:lastRow="0" w:firstColumn="0" w:lastColumn="0" w:oddVBand="0" w:evenVBand="0" w:oddHBand="0" w:evenHBand="0" w:firstRowFirstColumn="0" w:firstRowLastColumn="0" w:lastRowFirstColumn="0" w:lastRowLastColumn="0"/>
            </w:pPr>
            <w:r w:rsidRPr="00160C98">
              <w:t>Regular encryption audits</w:t>
            </w:r>
          </w:p>
        </w:tc>
        <w:tc>
          <w:tcPr>
            <w:tcW w:w="0" w:type="auto"/>
            <w:hideMark/>
          </w:tcPr>
          <w:p w14:paraId="418C903E" w14:textId="77777777" w:rsidR="00160C98" w:rsidRPr="00160C98" w:rsidRDefault="00160C98" w:rsidP="00160C98">
            <w:pPr>
              <w:spacing w:after="160" w:line="259" w:lineRule="auto"/>
              <w:cnfStyle w:val="000000000000" w:firstRow="0" w:lastRow="0" w:firstColumn="0" w:lastColumn="0" w:oddVBand="0" w:evenVBand="0" w:oddHBand="0" w:evenHBand="0" w:firstRowFirstColumn="0" w:firstRowLastColumn="0" w:lastRowFirstColumn="0" w:lastRowLastColumn="0"/>
            </w:pPr>
            <w:r w:rsidRPr="00160C98">
              <w:t>Quarterly</w:t>
            </w:r>
          </w:p>
        </w:tc>
        <w:tc>
          <w:tcPr>
            <w:tcW w:w="0" w:type="auto"/>
            <w:hideMark/>
          </w:tcPr>
          <w:p w14:paraId="48865EDC" w14:textId="77777777" w:rsidR="00160C98" w:rsidRPr="00160C98" w:rsidRDefault="00160C98" w:rsidP="00160C98">
            <w:pPr>
              <w:spacing w:after="160" w:line="259" w:lineRule="auto"/>
              <w:cnfStyle w:val="000000000000" w:firstRow="0" w:lastRow="0" w:firstColumn="0" w:lastColumn="0" w:oddVBand="0" w:evenVBand="0" w:oddHBand="0" w:evenHBand="0" w:firstRowFirstColumn="0" w:firstRowLastColumn="0" w:lastRowFirstColumn="0" w:lastRowLastColumn="0"/>
            </w:pPr>
            <w:r w:rsidRPr="00160C98">
              <w:t>Data Protection Officer (DPO)</w:t>
            </w:r>
          </w:p>
        </w:tc>
      </w:tr>
      <w:tr w:rsidR="00160C98" w:rsidRPr="00160C98" w14:paraId="138D8914" w14:textId="77777777" w:rsidTr="00160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0DC47" w14:textId="77777777" w:rsidR="00160C98" w:rsidRPr="00160C98" w:rsidRDefault="00160C98" w:rsidP="00160C98">
            <w:pPr>
              <w:spacing w:after="160" w:line="259" w:lineRule="auto"/>
            </w:pPr>
            <w:r w:rsidRPr="00160C98">
              <w:t>R004</w:t>
            </w:r>
          </w:p>
        </w:tc>
        <w:tc>
          <w:tcPr>
            <w:tcW w:w="0" w:type="auto"/>
            <w:hideMark/>
          </w:tcPr>
          <w:p w14:paraId="5DCF3F39"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Vendor security audits</w:t>
            </w:r>
          </w:p>
        </w:tc>
        <w:tc>
          <w:tcPr>
            <w:tcW w:w="0" w:type="auto"/>
            <w:hideMark/>
          </w:tcPr>
          <w:p w14:paraId="72B946B8"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Bi-annually</w:t>
            </w:r>
          </w:p>
        </w:tc>
        <w:tc>
          <w:tcPr>
            <w:tcW w:w="0" w:type="auto"/>
            <w:hideMark/>
          </w:tcPr>
          <w:p w14:paraId="48DAF8F4" w14:textId="77777777" w:rsidR="00160C98" w:rsidRPr="00160C98" w:rsidRDefault="00160C98" w:rsidP="00160C98">
            <w:pPr>
              <w:spacing w:after="160" w:line="259" w:lineRule="auto"/>
              <w:cnfStyle w:val="000000100000" w:firstRow="0" w:lastRow="0" w:firstColumn="0" w:lastColumn="0" w:oddVBand="0" w:evenVBand="0" w:oddHBand="1" w:evenHBand="0" w:firstRowFirstColumn="0" w:firstRowLastColumn="0" w:lastRowFirstColumn="0" w:lastRowLastColumn="0"/>
            </w:pPr>
            <w:r w:rsidRPr="00160C98">
              <w:t>Vendor Management Lead</w:t>
            </w:r>
          </w:p>
        </w:tc>
      </w:tr>
    </w:tbl>
    <w:p w14:paraId="1E59ABFA" w14:textId="77777777" w:rsidR="00160C98" w:rsidRDefault="00160C98" w:rsidP="00160C98">
      <w:pPr>
        <w:rPr>
          <w:b/>
          <w:bCs/>
        </w:rPr>
      </w:pPr>
    </w:p>
    <w:p w14:paraId="37D06EFA" w14:textId="463946B0" w:rsidR="00160C98" w:rsidRPr="00160C98" w:rsidRDefault="00160C98" w:rsidP="00160C98">
      <w:pPr>
        <w:rPr>
          <w:b/>
          <w:bCs/>
        </w:rPr>
      </w:pPr>
      <w:r w:rsidRPr="00160C98">
        <w:rPr>
          <w:b/>
          <w:bCs/>
        </w:rPr>
        <w:t>3.1 Continuous Improvement</w:t>
      </w:r>
    </w:p>
    <w:p w14:paraId="523E34D3" w14:textId="77777777" w:rsidR="00160C98" w:rsidRPr="00160C98" w:rsidRDefault="00160C98" w:rsidP="00160C98">
      <w:r w:rsidRPr="00160C98">
        <w:t>Risk treatment plans will be reviewed quarterly to ensure that they remain aligned with the evolving threat landscape. If new risks emerge or existing treatments are found to be inadequate, the Information Security Steering Committee will take immediate action to update the treatment plans.</w:t>
      </w:r>
    </w:p>
    <w:p w14:paraId="62855A96" w14:textId="77777777" w:rsidR="00160C98" w:rsidRPr="00160C98" w:rsidRDefault="00160C98" w:rsidP="00160C98">
      <w:pPr>
        <w:pStyle w:val="Heading1"/>
      </w:pPr>
      <w:r w:rsidRPr="00160C98">
        <w:t>4. Documentation and Evidence of Risk Treatment</w:t>
      </w:r>
    </w:p>
    <w:p w14:paraId="30F114A5" w14:textId="77777777" w:rsidR="00160C98" w:rsidRPr="00160C98" w:rsidRDefault="00160C98" w:rsidP="00160C98">
      <w:r w:rsidRPr="00160C98">
        <w:t>ABC-FinTech retains documented information related to the risk treatment decisions, including:</w:t>
      </w:r>
    </w:p>
    <w:p w14:paraId="2BB1C3DA" w14:textId="77777777" w:rsidR="00160C98" w:rsidRPr="00160C98" w:rsidRDefault="00160C98" w:rsidP="00160C98">
      <w:pPr>
        <w:numPr>
          <w:ilvl w:val="0"/>
          <w:numId w:val="38"/>
        </w:numPr>
      </w:pPr>
      <w:r w:rsidRPr="00160C98">
        <w:t>Records of risk assessments and the decision-making process.</w:t>
      </w:r>
    </w:p>
    <w:p w14:paraId="5DB347BA" w14:textId="77777777" w:rsidR="00160C98" w:rsidRPr="00160C98" w:rsidRDefault="00160C98" w:rsidP="00160C98">
      <w:pPr>
        <w:numPr>
          <w:ilvl w:val="0"/>
          <w:numId w:val="38"/>
        </w:numPr>
      </w:pPr>
      <w:r w:rsidRPr="00160C98">
        <w:t>Documentation of controls implemented for each risk.</w:t>
      </w:r>
    </w:p>
    <w:p w14:paraId="41D399FD" w14:textId="77777777" w:rsidR="00160C98" w:rsidRPr="00160C98" w:rsidRDefault="00160C98" w:rsidP="00160C98">
      <w:pPr>
        <w:numPr>
          <w:ilvl w:val="0"/>
          <w:numId w:val="38"/>
        </w:numPr>
      </w:pPr>
      <w:r w:rsidRPr="00160C98">
        <w:t>Monitoring logs and audit reports for tracking the effectiveness of risk treatments.</w:t>
      </w:r>
    </w:p>
    <w:p w14:paraId="143728D4" w14:textId="77777777" w:rsidR="00160C98" w:rsidRPr="00160C98" w:rsidRDefault="00160C98" w:rsidP="00160C98">
      <w:pPr>
        <w:pStyle w:val="Heading1"/>
      </w:pPr>
      <w:r w:rsidRPr="00160C98">
        <w:lastRenderedPageBreak/>
        <w:t>5. Conclusion</w:t>
      </w:r>
    </w:p>
    <w:p w14:paraId="5B9C25CA" w14:textId="26E617EE" w:rsidR="00160C98" w:rsidRPr="00160C98" w:rsidRDefault="00160C98" w:rsidP="00160C98">
      <w:r w:rsidRPr="00160C98">
        <w:t xml:space="preserve">The Information Security Steering Committee has reviewed the risk assessment results and implemented appropriate risk treatment actions. The treatments for </w:t>
      </w:r>
      <w:r w:rsidRPr="00160C98">
        <w:rPr>
          <w:b/>
          <w:bCs/>
        </w:rPr>
        <w:t>Cyber Attacks (R001)</w:t>
      </w:r>
      <w:r w:rsidRPr="00160C98">
        <w:t xml:space="preserve">, </w:t>
      </w:r>
      <w:r w:rsidRPr="00160C98">
        <w:rPr>
          <w:b/>
          <w:bCs/>
        </w:rPr>
        <w:t>Data Breaches (R002)</w:t>
      </w:r>
      <w:r w:rsidRPr="00160C98">
        <w:t xml:space="preserve">, and </w:t>
      </w:r>
      <w:r w:rsidRPr="00160C98">
        <w:rPr>
          <w:b/>
          <w:bCs/>
        </w:rPr>
        <w:t>Third-Party Vendor Risks (R004)</w:t>
      </w:r>
      <w:r w:rsidRPr="00160C98">
        <w:t xml:space="preserve"> have been initiated and are either completed or in progress. Continuous monitoring and regular reviews will ensure that these treatments remain effective in protecting ABC-FinTech’s information assets.</w:t>
      </w:r>
    </w:p>
    <w:p w14:paraId="7CC0F3C3" w14:textId="106296D2" w:rsidR="00160C98" w:rsidRPr="00160C98" w:rsidRDefault="00000000" w:rsidP="00160C98">
      <w:pPr>
        <w:jc w:val="center"/>
      </w:pPr>
      <w:r>
        <w:pict w14:anchorId="7CAE0B3F">
          <v:rect id="_x0000_i1025" style="width:0;height:1.5pt" o:hralign="center" o:hrstd="t" o:hr="t" fillcolor="#a0a0a0" stroked="f"/>
        </w:pict>
      </w:r>
    </w:p>
    <w:p w14:paraId="04A89E9B" w14:textId="516076F8" w:rsidR="00607328" w:rsidRPr="00607328" w:rsidRDefault="00607328" w:rsidP="00607328">
      <w:r w:rsidRPr="00607328">
        <w:rPr>
          <w:b/>
          <w:bCs/>
        </w:rPr>
        <w:t>Approved by:</w:t>
      </w:r>
    </w:p>
    <w:p w14:paraId="53D9477F" w14:textId="7A82D51C" w:rsidR="00607328" w:rsidRPr="00607328" w:rsidRDefault="00607328" w:rsidP="00607328">
      <w:r w:rsidRPr="00607328">
        <w:rPr>
          <w:b/>
          <w:bCs/>
        </w:rPr>
        <w:t>CEO, ABC-FinTech</w:t>
      </w:r>
      <w:r w:rsidRPr="00607328">
        <w:br/>
      </w:r>
      <w:r w:rsidRPr="00607328">
        <w:rPr>
          <w:b/>
          <w:bCs/>
        </w:rPr>
        <w:t xml:space="preserve">Date: </w:t>
      </w:r>
      <w:r w:rsidR="00182BF4">
        <w:rPr>
          <w:b/>
          <w:bCs/>
        </w:rPr>
        <w:t>17 Jan 2024</w:t>
      </w:r>
    </w:p>
    <w:p w14:paraId="5FA81C76" w14:textId="77777777" w:rsidR="00097663" w:rsidRPr="00126A34" w:rsidRDefault="00097663" w:rsidP="00126A34"/>
    <w:sectPr w:rsidR="00097663" w:rsidRPr="00126A34" w:rsidSect="00126A3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2E16"/>
    <w:multiLevelType w:val="multilevel"/>
    <w:tmpl w:val="964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42FF"/>
    <w:multiLevelType w:val="multilevel"/>
    <w:tmpl w:val="E96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11D5"/>
    <w:multiLevelType w:val="multilevel"/>
    <w:tmpl w:val="7EA61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C2D52"/>
    <w:multiLevelType w:val="multilevel"/>
    <w:tmpl w:val="D5B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F575A"/>
    <w:multiLevelType w:val="multilevel"/>
    <w:tmpl w:val="DF5E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039AD"/>
    <w:multiLevelType w:val="multilevel"/>
    <w:tmpl w:val="C6A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E58E9"/>
    <w:multiLevelType w:val="multilevel"/>
    <w:tmpl w:val="39BE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7EA1"/>
    <w:multiLevelType w:val="multilevel"/>
    <w:tmpl w:val="92C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E3CBB"/>
    <w:multiLevelType w:val="multilevel"/>
    <w:tmpl w:val="1FEE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9509A"/>
    <w:multiLevelType w:val="multilevel"/>
    <w:tmpl w:val="E1E0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72E06"/>
    <w:multiLevelType w:val="multilevel"/>
    <w:tmpl w:val="D2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71EDE"/>
    <w:multiLevelType w:val="multilevel"/>
    <w:tmpl w:val="AB6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45BF2"/>
    <w:multiLevelType w:val="multilevel"/>
    <w:tmpl w:val="28AE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20EB0"/>
    <w:multiLevelType w:val="multilevel"/>
    <w:tmpl w:val="4D6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248D8"/>
    <w:multiLevelType w:val="multilevel"/>
    <w:tmpl w:val="98D0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E542D"/>
    <w:multiLevelType w:val="multilevel"/>
    <w:tmpl w:val="1C3E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55090"/>
    <w:multiLevelType w:val="multilevel"/>
    <w:tmpl w:val="EA1E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61AE0"/>
    <w:multiLevelType w:val="multilevel"/>
    <w:tmpl w:val="9130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442B"/>
    <w:multiLevelType w:val="multilevel"/>
    <w:tmpl w:val="B80C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E6ECD"/>
    <w:multiLevelType w:val="multilevel"/>
    <w:tmpl w:val="E5C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E3F2A"/>
    <w:multiLevelType w:val="multilevel"/>
    <w:tmpl w:val="CFEC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B3DF0"/>
    <w:multiLevelType w:val="multilevel"/>
    <w:tmpl w:val="AA8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8387C"/>
    <w:multiLevelType w:val="multilevel"/>
    <w:tmpl w:val="5AF2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6431E"/>
    <w:multiLevelType w:val="multilevel"/>
    <w:tmpl w:val="0A86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85985"/>
    <w:multiLevelType w:val="multilevel"/>
    <w:tmpl w:val="1F2C5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E22FA5"/>
    <w:multiLevelType w:val="multilevel"/>
    <w:tmpl w:val="384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C4F83"/>
    <w:multiLevelType w:val="multilevel"/>
    <w:tmpl w:val="256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25D9D"/>
    <w:multiLevelType w:val="multilevel"/>
    <w:tmpl w:val="5012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252F9"/>
    <w:multiLevelType w:val="multilevel"/>
    <w:tmpl w:val="C25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E759C"/>
    <w:multiLevelType w:val="multilevel"/>
    <w:tmpl w:val="4410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10D73"/>
    <w:multiLevelType w:val="multilevel"/>
    <w:tmpl w:val="420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274BE"/>
    <w:multiLevelType w:val="multilevel"/>
    <w:tmpl w:val="D94E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526C2"/>
    <w:multiLevelType w:val="multilevel"/>
    <w:tmpl w:val="37B4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647D55"/>
    <w:multiLevelType w:val="multilevel"/>
    <w:tmpl w:val="F338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10B42"/>
    <w:multiLevelType w:val="multilevel"/>
    <w:tmpl w:val="08A6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D10AE2"/>
    <w:multiLevelType w:val="multilevel"/>
    <w:tmpl w:val="40B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2E785E"/>
    <w:multiLevelType w:val="multilevel"/>
    <w:tmpl w:val="F51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97A1C"/>
    <w:multiLevelType w:val="multilevel"/>
    <w:tmpl w:val="CFA4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6754583">
    <w:abstractNumId w:val="35"/>
  </w:num>
  <w:num w:numId="2" w16cid:durableId="1352802261">
    <w:abstractNumId w:val="6"/>
  </w:num>
  <w:num w:numId="3" w16cid:durableId="421219975">
    <w:abstractNumId w:val="25"/>
  </w:num>
  <w:num w:numId="4" w16cid:durableId="368799877">
    <w:abstractNumId w:val="24"/>
  </w:num>
  <w:num w:numId="5" w16cid:durableId="1474640107">
    <w:abstractNumId w:val="30"/>
  </w:num>
  <w:num w:numId="6" w16cid:durableId="939339642">
    <w:abstractNumId w:val="19"/>
  </w:num>
  <w:num w:numId="7" w16cid:durableId="725490642">
    <w:abstractNumId w:val="8"/>
  </w:num>
  <w:num w:numId="8" w16cid:durableId="81071327">
    <w:abstractNumId w:val="32"/>
  </w:num>
  <w:num w:numId="9" w16cid:durableId="1946957212">
    <w:abstractNumId w:val="1"/>
  </w:num>
  <w:num w:numId="10" w16cid:durableId="924847447">
    <w:abstractNumId w:val="22"/>
  </w:num>
  <w:num w:numId="11" w16cid:durableId="536702595">
    <w:abstractNumId w:val="37"/>
  </w:num>
  <w:num w:numId="12" w16cid:durableId="1775243843">
    <w:abstractNumId w:val="34"/>
  </w:num>
  <w:num w:numId="13" w16cid:durableId="1200974441">
    <w:abstractNumId w:val="20"/>
  </w:num>
  <w:num w:numId="14" w16cid:durableId="163667865">
    <w:abstractNumId w:val="3"/>
  </w:num>
  <w:num w:numId="15" w16cid:durableId="993920821">
    <w:abstractNumId w:val="21"/>
  </w:num>
  <w:num w:numId="16" w16cid:durableId="5330448">
    <w:abstractNumId w:val="13"/>
  </w:num>
  <w:num w:numId="17" w16cid:durableId="959535609">
    <w:abstractNumId w:val="28"/>
  </w:num>
  <w:num w:numId="18" w16cid:durableId="1130591858">
    <w:abstractNumId w:val="27"/>
  </w:num>
  <w:num w:numId="19" w16cid:durableId="1794129862">
    <w:abstractNumId w:val="18"/>
  </w:num>
  <w:num w:numId="20" w16cid:durableId="1918441133">
    <w:abstractNumId w:val="17"/>
  </w:num>
  <w:num w:numId="21" w16cid:durableId="1349017239">
    <w:abstractNumId w:val="9"/>
  </w:num>
  <w:num w:numId="22" w16cid:durableId="557321330">
    <w:abstractNumId w:val="0"/>
  </w:num>
  <w:num w:numId="23" w16cid:durableId="1987858429">
    <w:abstractNumId w:val="5"/>
  </w:num>
  <w:num w:numId="24" w16cid:durableId="661659527">
    <w:abstractNumId w:val="7"/>
  </w:num>
  <w:num w:numId="25" w16cid:durableId="1423146141">
    <w:abstractNumId w:val="12"/>
  </w:num>
  <w:num w:numId="26" w16cid:durableId="2085950435">
    <w:abstractNumId w:val="4"/>
  </w:num>
  <w:num w:numId="27" w16cid:durableId="2104060952">
    <w:abstractNumId w:val="10"/>
  </w:num>
  <w:num w:numId="28" w16cid:durableId="895894442">
    <w:abstractNumId w:val="15"/>
  </w:num>
  <w:num w:numId="29" w16cid:durableId="75712279">
    <w:abstractNumId w:val="11"/>
  </w:num>
  <w:num w:numId="30" w16cid:durableId="999121570">
    <w:abstractNumId w:val="31"/>
  </w:num>
  <w:num w:numId="31" w16cid:durableId="1582446053">
    <w:abstractNumId w:val="16"/>
  </w:num>
  <w:num w:numId="32" w16cid:durableId="991101620">
    <w:abstractNumId w:val="14"/>
  </w:num>
  <w:num w:numId="33" w16cid:durableId="1483767555">
    <w:abstractNumId w:val="23"/>
  </w:num>
  <w:num w:numId="34" w16cid:durableId="620721639">
    <w:abstractNumId w:val="36"/>
  </w:num>
  <w:num w:numId="35" w16cid:durableId="1493644970">
    <w:abstractNumId w:val="2"/>
  </w:num>
  <w:num w:numId="36" w16cid:durableId="2037852264">
    <w:abstractNumId w:val="26"/>
  </w:num>
  <w:num w:numId="37" w16cid:durableId="1764375366">
    <w:abstractNumId w:val="29"/>
  </w:num>
  <w:num w:numId="38" w16cid:durableId="19799880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69"/>
    <w:rsid w:val="00097663"/>
    <w:rsid w:val="00126A34"/>
    <w:rsid w:val="00160C98"/>
    <w:rsid w:val="00182BF4"/>
    <w:rsid w:val="002050E1"/>
    <w:rsid w:val="00293ABF"/>
    <w:rsid w:val="00336B4F"/>
    <w:rsid w:val="004E7555"/>
    <w:rsid w:val="00541CF9"/>
    <w:rsid w:val="00581C69"/>
    <w:rsid w:val="00607328"/>
    <w:rsid w:val="00613BB2"/>
    <w:rsid w:val="00914588"/>
    <w:rsid w:val="009A0687"/>
    <w:rsid w:val="00D970C1"/>
    <w:rsid w:val="00D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6950"/>
  <w15:chartTrackingRefBased/>
  <w15:docId w15:val="{459E101E-3517-4637-A0F3-D991CB75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69"/>
    <w:rPr>
      <w:rFonts w:eastAsiaTheme="majorEastAsia" w:cstheme="majorBidi"/>
      <w:color w:val="272727" w:themeColor="text1" w:themeTint="D8"/>
    </w:rPr>
  </w:style>
  <w:style w:type="paragraph" w:styleId="Title">
    <w:name w:val="Title"/>
    <w:basedOn w:val="Normal"/>
    <w:next w:val="Normal"/>
    <w:link w:val="TitleChar"/>
    <w:uiPriority w:val="10"/>
    <w:qFormat/>
    <w:rsid w:val="00581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69"/>
    <w:pPr>
      <w:spacing w:before="160"/>
      <w:jc w:val="center"/>
    </w:pPr>
    <w:rPr>
      <w:i/>
      <w:iCs/>
      <w:color w:val="404040" w:themeColor="text1" w:themeTint="BF"/>
    </w:rPr>
  </w:style>
  <w:style w:type="character" w:customStyle="1" w:styleId="QuoteChar">
    <w:name w:val="Quote Char"/>
    <w:basedOn w:val="DefaultParagraphFont"/>
    <w:link w:val="Quote"/>
    <w:uiPriority w:val="29"/>
    <w:rsid w:val="00581C69"/>
    <w:rPr>
      <w:i/>
      <w:iCs/>
      <w:color w:val="404040" w:themeColor="text1" w:themeTint="BF"/>
    </w:rPr>
  </w:style>
  <w:style w:type="paragraph" w:styleId="ListParagraph">
    <w:name w:val="List Paragraph"/>
    <w:basedOn w:val="Normal"/>
    <w:uiPriority w:val="34"/>
    <w:qFormat/>
    <w:rsid w:val="00581C69"/>
    <w:pPr>
      <w:ind w:left="720"/>
      <w:contextualSpacing/>
    </w:pPr>
  </w:style>
  <w:style w:type="character" w:styleId="IntenseEmphasis">
    <w:name w:val="Intense Emphasis"/>
    <w:basedOn w:val="DefaultParagraphFont"/>
    <w:uiPriority w:val="21"/>
    <w:qFormat/>
    <w:rsid w:val="00581C69"/>
    <w:rPr>
      <w:i/>
      <w:iCs/>
      <w:color w:val="0F4761" w:themeColor="accent1" w:themeShade="BF"/>
    </w:rPr>
  </w:style>
  <w:style w:type="paragraph" w:styleId="IntenseQuote">
    <w:name w:val="Intense Quote"/>
    <w:basedOn w:val="Normal"/>
    <w:next w:val="Normal"/>
    <w:link w:val="IntenseQuoteChar"/>
    <w:uiPriority w:val="30"/>
    <w:qFormat/>
    <w:rsid w:val="00581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69"/>
    <w:rPr>
      <w:i/>
      <w:iCs/>
      <w:color w:val="0F4761" w:themeColor="accent1" w:themeShade="BF"/>
    </w:rPr>
  </w:style>
  <w:style w:type="character" w:styleId="IntenseReference">
    <w:name w:val="Intense Reference"/>
    <w:basedOn w:val="DefaultParagraphFont"/>
    <w:uiPriority w:val="32"/>
    <w:qFormat/>
    <w:rsid w:val="00581C69"/>
    <w:rPr>
      <w:b/>
      <w:bCs/>
      <w:smallCaps/>
      <w:color w:val="0F4761" w:themeColor="accent1" w:themeShade="BF"/>
      <w:spacing w:val="5"/>
    </w:rPr>
  </w:style>
  <w:style w:type="table" w:styleId="GridTable5Dark-Accent1">
    <w:name w:val="Grid Table 5 Dark Accent 1"/>
    <w:basedOn w:val="TableNormal"/>
    <w:uiPriority w:val="50"/>
    <w:rsid w:val="002050E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185279">
      <w:bodyDiv w:val="1"/>
      <w:marLeft w:val="0"/>
      <w:marRight w:val="0"/>
      <w:marTop w:val="0"/>
      <w:marBottom w:val="0"/>
      <w:divBdr>
        <w:top w:val="none" w:sz="0" w:space="0" w:color="auto"/>
        <w:left w:val="none" w:sz="0" w:space="0" w:color="auto"/>
        <w:bottom w:val="none" w:sz="0" w:space="0" w:color="auto"/>
        <w:right w:val="none" w:sz="0" w:space="0" w:color="auto"/>
      </w:divBdr>
    </w:div>
    <w:div w:id="384529599">
      <w:bodyDiv w:val="1"/>
      <w:marLeft w:val="0"/>
      <w:marRight w:val="0"/>
      <w:marTop w:val="0"/>
      <w:marBottom w:val="0"/>
      <w:divBdr>
        <w:top w:val="none" w:sz="0" w:space="0" w:color="auto"/>
        <w:left w:val="none" w:sz="0" w:space="0" w:color="auto"/>
        <w:bottom w:val="none" w:sz="0" w:space="0" w:color="auto"/>
        <w:right w:val="none" w:sz="0" w:space="0" w:color="auto"/>
      </w:divBdr>
    </w:div>
    <w:div w:id="717318944">
      <w:bodyDiv w:val="1"/>
      <w:marLeft w:val="0"/>
      <w:marRight w:val="0"/>
      <w:marTop w:val="0"/>
      <w:marBottom w:val="0"/>
      <w:divBdr>
        <w:top w:val="none" w:sz="0" w:space="0" w:color="auto"/>
        <w:left w:val="none" w:sz="0" w:space="0" w:color="auto"/>
        <w:bottom w:val="none" w:sz="0" w:space="0" w:color="auto"/>
        <w:right w:val="none" w:sz="0" w:space="0" w:color="auto"/>
      </w:divBdr>
    </w:div>
    <w:div w:id="1248886637">
      <w:bodyDiv w:val="1"/>
      <w:marLeft w:val="0"/>
      <w:marRight w:val="0"/>
      <w:marTop w:val="0"/>
      <w:marBottom w:val="0"/>
      <w:divBdr>
        <w:top w:val="none" w:sz="0" w:space="0" w:color="auto"/>
        <w:left w:val="none" w:sz="0" w:space="0" w:color="auto"/>
        <w:bottom w:val="none" w:sz="0" w:space="0" w:color="auto"/>
        <w:right w:val="none" w:sz="0" w:space="0" w:color="auto"/>
      </w:divBdr>
    </w:div>
    <w:div w:id="1467965376">
      <w:bodyDiv w:val="1"/>
      <w:marLeft w:val="0"/>
      <w:marRight w:val="0"/>
      <w:marTop w:val="0"/>
      <w:marBottom w:val="0"/>
      <w:divBdr>
        <w:top w:val="none" w:sz="0" w:space="0" w:color="auto"/>
        <w:left w:val="none" w:sz="0" w:space="0" w:color="auto"/>
        <w:bottom w:val="none" w:sz="0" w:space="0" w:color="auto"/>
        <w:right w:val="none" w:sz="0" w:space="0" w:color="auto"/>
      </w:divBdr>
    </w:div>
    <w:div w:id="1526357904">
      <w:bodyDiv w:val="1"/>
      <w:marLeft w:val="0"/>
      <w:marRight w:val="0"/>
      <w:marTop w:val="0"/>
      <w:marBottom w:val="0"/>
      <w:divBdr>
        <w:top w:val="none" w:sz="0" w:space="0" w:color="auto"/>
        <w:left w:val="none" w:sz="0" w:space="0" w:color="auto"/>
        <w:bottom w:val="none" w:sz="0" w:space="0" w:color="auto"/>
        <w:right w:val="none" w:sz="0" w:space="0" w:color="auto"/>
      </w:divBdr>
    </w:div>
    <w:div w:id="1674576126">
      <w:bodyDiv w:val="1"/>
      <w:marLeft w:val="0"/>
      <w:marRight w:val="0"/>
      <w:marTop w:val="0"/>
      <w:marBottom w:val="0"/>
      <w:divBdr>
        <w:top w:val="none" w:sz="0" w:space="0" w:color="auto"/>
        <w:left w:val="none" w:sz="0" w:space="0" w:color="auto"/>
        <w:bottom w:val="none" w:sz="0" w:space="0" w:color="auto"/>
        <w:right w:val="none" w:sz="0" w:space="0" w:color="auto"/>
      </w:divBdr>
    </w:div>
    <w:div w:id="1881474481">
      <w:bodyDiv w:val="1"/>
      <w:marLeft w:val="0"/>
      <w:marRight w:val="0"/>
      <w:marTop w:val="0"/>
      <w:marBottom w:val="0"/>
      <w:divBdr>
        <w:top w:val="none" w:sz="0" w:space="0" w:color="auto"/>
        <w:left w:val="none" w:sz="0" w:space="0" w:color="auto"/>
        <w:bottom w:val="none" w:sz="0" w:space="0" w:color="auto"/>
        <w:right w:val="none" w:sz="0" w:space="0" w:color="auto"/>
      </w:divBdr>
    </w:div>
    <w:div w:id="1965234304">
      <w:bodyDiv w:val="1"/>
      <w:marLeft w:val="0"/>
      <w:marRight w:val="0"/>
      <w:marTop w:val="0"/>
      <w:marBottom w:val="0"/>
      <w:divBdr>
        <w:top w:val="none" w:sz="0" w:space="0" w:color="auto"/>
        <w:left w:val="none" w:sz="0" w:space="0" w:color="auto"/>
        <w:bottom w:val="none" w:sz="0" w:space="0" w:color="auto"/>
        <w:right w:val="none" w:sz="0" w:space="0" w:color="auto"/>
      </w:divBdr>
    </w:div>
    <w:div w:id="211085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usman</dc:creator>
  <cp:keywords/>
  <dc:description/>
  <cp:lastModifiedBy>umar usman</cp:lastModifiedBy>
  <cp:revision>12</cp:revision>
  <dcterms:created xsi:type="dcterms:W3CDTF">2024-10-10T22:05:00Z</dcterms:created>
  <dcterms:modified xsi:type="dcterms:W3CDTF">2024-10-11T03:53:00Z</dcterms:modified>
</cp:coreProperties>
</file>