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602CE773" w14:textId="568B5053" w:rsidR="00126A34" w:rsidRPr="002050E1" w:rsidRDefault="002601CF" w:rsidP="002050E1">
      <w:pPr>
        <w:jc w:val="center"/>
        <w:rPr>
          <w:sz w:val="52"/>
          <w:szCs w:val="52"/>
        </w:rPr>
      </w:pPr>
      <w:r w:rsidRPr="002601CF">
        <w:rPr>
          <w:sz w:val="52"/>
          <w:szCs w:val="52"/>
        </w:rPr>
        <w:t xml:space="preserve">Evidence Of </w:t>
      </w:r>
      <w:proofErr w:type="gramStart"/>
      <w:r w:rsidRPr="002601CF">
        <w:rPr>
          <w:sz w:val="52"/>
          <w:szCs w:val="52"/>
        </w:rPr>
        <w:t>The</w:t>
      </w:r>
      <w:proofErr w:type="gramEnd"/>
      <w:r w:rsidRPr="002601CF">
        <w:rPr>
          <w:sz w:val="52"/>
          <w:szCs w:val="52"/>
        </w:rPr>
        <w:t xml:space="preserve"> Monitoring And Measurement Of Information Security</w:t>
      </w:r>
    </w:p>
    <w:p w14:paraId="48CD763C" w14:textId="77777777" w:rsidR="002601CF" w:rsidRPr="002601CF" w:rsidRDefault="002601CF" w:rsidP="002601CF">
      <w:pPr>
        <w:pStyle w:val="Heading1"/>
      </w:pPr>
      <w:r w:rsidRPr="002601CF">
        <w:t>1. Introduction</w:t>
      </w:r>
    </w:p>
    <w:p w14:paraId="0D3DAB99" w14:textId="77777777" w:rsidR="002601CF" w:rsidRPr="002601CF" w:rsidRDefault="002601CF" w:rsidP="002601CF">
      <w:pPr>
        <w:rPr>
          <w:b/>
          <w:bCs/>
        </w:rPr>
      </w:pPr>
      <w:r w:rsidRPr="002601CF">
        <w:rPr>
          <w:b/>
          <w:bCs/>
        </w:rPr>
        <w:t>1.1 Purpose</w:t>
      </w:r>
    </w:p>
    <w:p w14:paraId="11ECD138" w14:textId="77777777" w:rsidR="002601CF" w:rsidRPr="002601CF" w:rsidRDefault="002601CF" w:rsidP="002601CF">
      <w:r w:rsidRPr="002601CF">
        <w:t>This document outlines the processes and methods used by ABC-FinTech to monitor and measure the performance and effectiveness of its Information Security Management System (ISMS). It describes what is monitored, how it is monitored, and who is responsible for evaluating and analyzing the results, in alignment with ISO 27001:2022 standards.</w:t>
      </w:r>
    </w:p>
    <w:p w14:paraId="45231381" w14:textId="77777777" w:rsidR="002601CF" w:rsidRPr="002601CF" w:rsidRDefault="002601CF" w:rsidP="002601CF">
      <w:pPr>
        <w:rPr>
          <w:b/>
          <w:bCs/>
        </w:rPr>
      </w:pPr>
      <w:r w:rsidRPr="002601CF">
        <w:rPr>
          <w:b/>
          <w:bCs/>
        </w:rPr>
        <w:t>1.2 Scope</w:t>
      </w:r>
    </w:p>
    <w:p w14:paraId="6DB0249C" w14:textId="77777777" w:rsidR="002601CF" w:rsidRPr="002601CF" w:rsidRDefault="002601CF" w:rsidP="002601CF">
      <w:r w:rsidRPr="002601CF">
        <w:t>This document applies to all relevant information security processes, controls, and personnel within ABC-FinTech. The monitoring and measurement activities focus on ensuring the continuous effectiveness of the ISMS and the achievement of information security objectives.</w:t>
      </w:r>
    </w:p>
    <w:p w14:paraId="6323CB84" w14:textId="77777777" w:rsidR="002601CF" w:rsidRPr="002601CF" w:rsidRDefault="002601CF" w:rsidP="002601CF">
      <w:pPr>
        <w:pStyle w:val="Heading1"/>
      </w:pPr>
      <w:r w:rsidRPr="002601CF">
        <w:t>2. Monitoring and Measurement of Information Security</w:t>
      </w:r>
    </w:p>
    <w:p w14:paraId="6F438056" w14:textId="77777777" w:rsidR="002601CF" w:rsidRPr="002601CF" w:rsidRDefault="002601CF" w:rsidP="002601CF">
      <w:pPr>
        <w:rPr>
          <w:b/>
          <w:bCs/>
        </w:rPr>
      </w:pPr>
      <w:r w:rsidRPr="002601CF">
        <w:rPr>
          <w:b/>
          <w:bCs/>
        </w:rPr>
        <w:t>2.1 What Needs to Be Monitored and Measured</w:t>
      </w:r>
    </w:p>
    <w:p w14:paraId="0B9F46FA" w14:textId="77777777" w:rsidR="002601CF" w:rsidRPr="002601CF" w:rsidRDefault="002601CF" w:rsidP="002601CF">
      <w:r w:rsidRPr="002601CF">
        <w:t>ABC-FinTech has identified the following information security processes, controls, and metrics for monitoring and measurement:</w:t>
      </w:r>
    </w:p>
    <w:tbl>
      <w:tblPr>
        <w:tblStyle w:val="GridTable5Dark-Accent1"/>
        <w:tblW w:w="0" w:type="auto"/>
        <w:tblLook w:val="04A0" w:firstRow="1" w:lastRow="0" w:firstColumn="1" w:lastColumn="0" w:noHBand="0" w:noVBand="1"/>
      </w:tblPr>
      <w:tblGrid>
        <w:gridCol w:w="2211"/>
        <w:gridCol w:w="3551"/>
        <w:gridCol w:w="3588"/>
      </w:tblGrid>
      <w:tr w:rsidR="002601CF" w:rsidRPr="002601CF" w14:paraId="4249BC7E" w14:textId="77777777" w:rsidTr="00260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28F4D" w14:textId="77777777" w:rsidR="002601CF" w:rsidRPr="002601CF" w:rsidRDefault="002601CF" w:rsidP="002601CF">
            <w:pPr>
              <w:spacing w:after="160" w:line="259" w:lineRule="auto"/>
            </w:pPr>
            <w:r w:rsidRPr="002601CF">
              <w:t>Monitoring Area</w:t>
            </w:r>
          </w:p>
        </w:tc>
        <w:tc>
          <w:tcPr>
            <w:tcW w:w="0" w:type="auto"/>
            <w:hideMark/>
          </w:tcPr>
          <w:p w14:paraId="5DF07CCD"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Objective</w:t>
            </w:r>
          </w:p>
        </w:tc>
        <w:tc>
          <w:tcPr>
            <w:tcW w:w="0" w:type="auto"/>
            <w:hideMark/>
          </w:tcPr>
          <w:p w14:paraId="6DF099D0"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Key Metrics</w:t>
            </w:r>
          </w:p>
        </w:tc>
      </w:tr>
      <w:tr w:rsidR="002601CF" w:rsidRPr="002601CF" w14:paraId="52623729"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11866" w14:textId="77777777" w:rsidR="002601CF" w:rsidRPr="002601CF" w:rsidRDefault="002601CF" w:rsidP="002601CF">
            <w:pPr>
              <w:spacing w:after="160" w:line="259" w:lineRule="auto"/>
            </w:pPr>
            <w:r w:rsidRPr="002601CF">
              <w:t>Incident Response Performance</w:t>
            </w:r>
          </w:p>
        </w:tc>
        <w:tc>
          <w:tcPr>
            <w:tcW w:w="0" w:type="auto"/>
            <w:hideMark/>
          </w:tcPr>
          <w:p w14:paraId="6DA1C6BC"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Measure response time and effectiveness in resolving security incidents.</w:t>
            </w:r>
          </w:p>
        </w:tc>
        <w:tc>
          <w:tcPr>
            <w:tcW w:w="0" w:type="auto"/>
            <w:hideMark/>
          </w:tcPr>
          <w:p w14:paraId="725217A6"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Number of incidents, response time, severity</w:t>
            </w:r>
          </w:p>
        </w:tc>
      </w:tr>
      <w:tr w:rsidR="002601CF" w:rsidRPr="002601CF" w14:paraId="4C93B6B5"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1CEB037A" w14:textId="77777777" w:rsidR="002601CF" w:rsidRPr="002601CF" w:rsidRDefault="002601CF" w:rsidP="002601CF">
            <w:pPr>
              <w:spacing w:after="160" w:line="259" w:lineRule="auto"/>
            </w:pPr>
            <w:r w:rsidRPr="002601CF">
              <w:t>Data Encryption Compliance</w:t>
            </w:r>
          </w:p>
        </w:tc>
        <w:tc>
          <w:tcPr>
            <w:tcW w:w="0" w:type="auto"/>
            <w:hideMark/>
          </w:tcPr>
          <w:p w14:paraId="7EF12227"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Ensure that all sensitive data is encrypted at rest and in transit.</w:t>
            </w:r>
          </w:p>
        </w:tc>
        <w:tc>
          <w:tcPr>
            <w:tcW w:w="0" w:type="auto"/>
            <w:hideMark/>
          </w:tcPr>
          <w:p w14:paraId="03B83346"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 xml:space="preserve">Percentage of data </w:t>
            </w:r>
            <w:proofErr w:type="gramStart"/>
            <w:r w:rsidRPr="002601CF">
              <w:t>encrypted,</w:t>
            </w:r>
            <w:proofErr w:type="gramEnd"/>
            <w:r w:rsidRPr="002601CF">
              <w:t xml:space="preserve"> encryption audits</w:t>
            </w:r>
          </w:p>
        </w:tc>
      </w:tr>
      <w:tr w:rsidR="002601CF" w:rsidRPr="002601CF" w14:paraId="5ADE5533"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51305" w14:textId="77777777" w:rsidR="002601CF" w:rsidRPr="002601CF" w:rsidRDefault="002601CF" w:rsidP="002601CF">
            <w:pPr>
              <w:spacing w:after="160" w:line="259" w:lineRule="auto"/>
            </w:pPr>
            <w:r w:rsidRPr="002601CF">
              <w:t>Access Control Compliance</w:t>
            </w:r>
          </w:p>
        </w:tc>
        <w:tc>
          <w:tcPr>
            <w:tcW w:w="0" w:type="auto"/>
            <w:hideMark/>
          </w:tcPr>
          <w:p w14:paraId="5E479BC7"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Ensure proper access control is in place for critical systems and data.</w:t>
            </w:r>
          </w:p>
        </w:tc>
        <w:tc>
          <w:tcPr>
            <w:tcW w:w="0" w:type="auto"/>
            <w:hideMark/>
          </w:tcPr>
          <w:p w14:paraId="7C300FE2"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Number of access violations, unauthorized access</w:t>
            </w:r>
          </w:p>
        </w:tc>
      </w:tr>
      <w:tr w:rsidR="002601CF" w:rsidRPr="002601CF" w14:paraId="3F4320C5"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1E77685C" w14:textId="77777777" w:rsidR="002601CF" w:rsidRPr="002601CF" w:rsidRDefault="002601CF" w:rsidP="002601CF">
            <w:pPr>
              <w:spacing w:after="160" w:line="259" w:lineRule="auto"/>
            </w:pPr>
            <w:r w:rsidRPr="002601CF">
              <w:t>Vulnerability Management</w:t>
            </w:r>
          </w:p>
        </w:tc>
        <w:tc>
          <w:tcPr>
            <w:tcW w:w="0" w:type="auto"/>
            <w:hideMark/>
          </w:tcPr>
          <w:p w14:paraId="65EB5B4D"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Identify and remediate vulnerabilities in IT infrastructure.</w:t>
            </w:r>
          </w:p>
        </w:tc>
        <w:tc>
          <w:tcPr>
            <w:tcW w:w="0" w:type="auto"/>
            <w:hideMark/>
          </w:tcPr>
          <w:p w14:paraId="111A7690"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Number of vulnerabilities identified and resolved, remediation time</w:t>
            </w:r>
          </w:p>
        </w:tc>
      </w:tr>
      <w:tr w:rsidR="002601CF" w:rsidRPr="002601CF" w14:paraId="1C8210E4"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CF0B9" w14:textId="77777777" w:rsidR="002601CF" w:rsidRPr="002601CF" w:rsidRDefault="002601CF" w:rsidP="002601CF">
            <w:pPr>
              <w:spacing w:after="160" w:line="259" w:lineRule="auto"/>
            </w:pPr>
            <w:r w:rsidRPr="002601CF">
              <w:lastRenderedPageBreak/>
              <w:t>Vendor Risk Management</w:t>
            </w:r>
          </w:p>
        </w:tc>
        <w:tc>
          <w:tcPr>
            <w:tcW w:w="0" w:type="auto"/>
            <w:hideMark/>
          </w:tcPr>
          <w:p w14:paraId="5BBBA3CD"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Monitor and manage risks associated with third-party vendors.</w:t>
            </w:r>
          </w:p>
        </w:tc>
        <w:tc>
          <w:tcPr>
            <w:tcW w:w="0" w:type="auto"/>
            <w:hideMark/>
          </w:tcPr>
          <w:p w14:paraId="4887CAF6"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Percentage of vendors compliant with security requirements, audit results</w:t>
            </w:r>
          </w:p>
        </w:tc>
      </w:tr>
      <w:tr w:rsidR="002601CF" w:rsidRPr="002601CF" w14:paraId="1811D403"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44CEC648" w14:textId="77777777" w:rsidR="002601CF" w:rsidRPr="002601CF" w:rsidRDefault="002601CF" w:rsidP="002601CF">
            <w:pPr>
              <w:spacing w:after="160" w:line="259" w:lineRule="auto"/>
            </w:pPr>
            <w:r w:rsidRPr="002601CF">
              <w:t>User Security Awareness</w:t>
            </w:r>
          </w:p>
        </w:tc>
        <w:tc>
          <w:tcPr>
            <w:tcW w:w="0" w:type="auto"/>
            <w:hideMark/>
          </w:tcPr>
          <w:p w14:paraId="4B998EA0"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Assess the effectiveness of security awareness training programs.</w:t>
            </w:r>
          </w:p>
        </w:tc>
        <w:tc>
          <w:tcPr>
            <w:tcW w:w="0" w:type="auto"/>
            <w:hideMark/>
          </w:tcPr>
          <w:p w14:paraId="5D015B20"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Employee participation, test scores, phishing simulation results</w:t>
            </w:r>
          </w:p>
        </w:tc>
      </w:tr>
    </w:tbl>
    <w:p w14:paraId="7EFF3474" w14:textId="77777777" w:rsidR="002601CF" w:rsidRPr="002601CF" w:rsidRDefault="002601CF" w:rsidP="002601CF">
      <w:pPr>
        <w:rPr>
          <w:b/>
          <w:bCs/>
        </w:rPr>
      </w:pPr>
      <w:r w:rsidRPr="002601CF">
        <w:rPr>
          <w:b/>
          <w:bCs/>
        </w:rPr>
        <w:t>2.2 Methods for Monitoring and Measurement</w:t>
      </w:r>
    </w:p>
    <w:p w14:paraId="1F8C3D47" w14:textId="77777777" w:rsidR="002601CF" w:rsidRPr="002601CF" w:rsidRDefault="002601CF" w:rsidP="002601CF">
      <w:r w:rsidRPr="002601CF">
        <w:t>The following methods are used to ensure accurate monitoring, measurement, and evaluation of the ISMS:</w:t>
      </w:r>
    </w:p>
    <w:tbl>
      <w:tblPr>
        <w:tblStyle w:val="GridTable5Dark-Accent1"/>
        <w:tblW w:w="0" w:type="auto"/>
        <w:tblLook w:val="04A0" w:firstRow="1" w:lastRow="0" w:firstColumn="1" w:lastColumn="0" w:noHBand="0" w:noVBand="1"/>
      </w:tblPr>
      <w:tblGrid>
        <w:gridCol w:w="2494"/>
        <w:gridCol w:w="3652"/>
        <w:gridCol w:w="3204"/>
      </w:tblGrid>
      <w:tr w:rsidR="002601CF" w:rsidRPr="002601CF" w14:paraId="6DB9F94C" w14:textId="77777777" w:rsidTr="00260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79F70" w14:textId="77777777" w:rsidR="002601CF" w:rsidRPr="002601CF" w:rsidRDefault="002601CF" w:rsidP="002601CF">
            <w:pPr>
              <w:spacing w:after="160" w:line="259" w:lineRule="auto"/>
            </w:pPr>
            <w:r w:rsidRPr="002601CF">
              <w:t>Monitoring Area</w:t>
            </w:r>
          </w:p>
        </w:tc>
        <w:tc>
          <w:tcPr>
            <w:tcW w:w="0" w:type="auto"/>
            <w:hideMark/>
          </w:tcPr>
          <w:p w14:paraId="3F4C72F0"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Method for Monitoring</w:t>
            </w:r>
          </w:p>
        </w:tc>
        <w:tc>
          <w:tcPr>
            <w:tcW w:w="0" w:type="auto"/>
            <w:hideMark/>
          </w:tcPr>
          <w:p w14:paraId="72E24690"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Measurement Tools</w:t>
            </w:r>
          </w:p>
        </w:tc>
      </w:tr>
      <w:tr w:rsidR="002601CF" w:rsidRPr="002601CF" w14:paraId="3DB267F8"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DC389" w14:textId="77777777" w:rsidR="002601CF" w:rsidRPr="002601CF" w:rsidRDefault="002601CF" w:rsidP="002601CF">
            <w:pPr>
              <w:spacing w:after="160" w:line="259" w:lineRule="auto"/>
            </w:pPr>
            <w:r w:rsidRPr="002601CF">
              <w:t>Incident Response Performance</w:t>
            </w:r>
          </w:p>
        </w:tc>
        <w:tc>
          <w:tcPr>
            <w:tcW w:w="0" w:type="auto"/>
            <w:hideMark/>
          </w:tcPr>
          <w:p w14:paraId="49631A0A"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Incident tracking and analysis</w:t>
            </w:r>
          </w:p>
        </w:tc>
        <w:tc>
          <w:tcPr>
            <w:tcW w:w="0" w:type="auto"/>
            <w:hideMark/>
          </w:tcPr>
          <w:p w14:paraId="79EABF1B"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Incident response logs, ticketing system</w:t>
            </w:r>
          </w:p>
        </w:tc>
      </w:tr>
      <w:tr w:rsidR="002601CF" w:rsidRPr="002601CF" w14:paraId="07C86F0E"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004B63FF" w14:textId="77777777" w:rsidR="002601CF" w:rsidRPr="002601CF" w:rsidRDefault="002601CF" w:rsidP="002601CF">
            <w:pPr>
              <w:spacing w:after="160" w:line="259" w:lineRule="auto"/>
            </w:pPr>
            <w:r w:rsidRPr="002601CF">
              <w:t>Data Encryption Compliance</w:t>
            </w:r>
          </w:p>
        </w:tc>
        <w:tc>
          <w:tcPr>
            <w:tcW w:w="0" w:type="auto"/>
            <w:hideMark/>
          </w:tcPr>
          <w:p w14:paraId="6747EB60"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Encryption audits and compliance checks</w:t>
            </w:r>
          </w:p>
        </w:tc>
        <w:tc>
          <w:tcPr>
            <w:tcW w:w="0" w:type="auto"/>
            <w:hideMark/>
          </w:tcPr>
          <w:p w14:paraId="4D1DB57E"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Encryption audit tools, log analysis</w:t>
            </w:r>
          </w:p>
        </w:tc>
      </w:tr>
      <w:tr w:rsidR="002601CF" w:rsidRPr="002601CF" w14:paraId="0F8CF017"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91C1E" w14:textId="77777777" w:rsidR="002601CF" w:rsidRPr="002601CF" w:rsidRDefault="002601CF" w:rsidP="002601CF">
            <w:pPr>
              <w:spacing w:after="160" w:line="259" w:lineRule="auto"/>
            </w:pPr>
            <w:r w:rsidRPr="002601CF">
              <w:t>Access Control Compliance</w:t>
            </w:r>
          </w:p>
        </w:tc>
        <w:tc>
          <w:tcPr>
            <w:tcW w:w="0" w:type="auto"/>
            <w:hideMark/>
          </w:tcPr>
          <w:p w14:paraId="08986EF0"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Regular access reviews, monitoring of access control logs</w:t>
            </w:r>
          </w:p>
        </w:tc>
        <w:tc>
          <w:tcPr>
            <w:tcW w:w="0" w:type="auto"/>
            <w:hideMark/>
          </w:tcPr>
          <w:p w14:paraId="5AE49DF7"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Access control logs, IAM software</w:t>
            </w:r>
          </w:p>
        </w:tc>
      </w:tr>
      <w:tr w:rsidR="002601CF" w:rsidRPr="002601CF" w14:paraId="182C21C2"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2CE3504A" w14:textId="77777777" w:rsidR="002601CF" w:rsidRPr="002601CF" w:rsidRDefault="002601CF" w:rsidP="002601CF">
            <w:pPr>
              <w:spacing w:after="160" w:line="259" w:lineRule="auto"/>
            </w:pPr>
            <w:r w:rsidRPr="002601CF">
              <w:t>Vulnerability Management</w:t>
            </w:r>
          </w:p>
        </w:tc>
        <w:tc>
          <w:tcPr>
            <w:tcW w:w="0" w:type="auto"/>
            <w:hideMark/>
          </w:tcPr>
          <w:p w14:paraId="278BE79F"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Automated vulnerability scans, manual penetration testing</w:t>
            </w:r>
          </w:p>
        </w:tc>
        <w:tc>
          <w:tcPr>
            <w:tcW w:w="0" w:type="auto"/>
            <w:hideMark/>
          </w:tcPr>
          <w:p w14:paraId="3D419634"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Vulnerability scanning tools, pen-testing reports</w:t>
            </w:r>
          </w:p>
        </w:tc>
      </w:tr>
      <w:tr w:rsidR="002601CF" w:rsidRPr="002601CF" w14:paraId="050AF693"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7D349" w14:textId="77777777" w:rsidR="002601CF" w:rsidRPr="002601CF" w:rsidRDefault="002601CF" w:rsidP="002601CF">
            <w:pPr>
              <w:spacing w:after="160" w:line="259" w:lineRule="auto"/>
            </w:pPr>
            <w:r w:rsidRPr="002601CF">
              <w:t>Vendor Risk Management</w:t>
            </w:r>
          </w:p>
        </w:tc>
        <w:tc>
          <w:tcPr>
            <w:tcW w:w="0" w:type="auto"/>
            <w:hideMark/>
          </w:tcPr>
          <w:p w14:paraId="5D11801E"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Regular vendor security audits and assessments</w:t>
            </w:r>
          </w:p>
        </w:tc>
        <w:tc>
          <w:tcPr>
            <w:tcW w:w="0" w:type="auto"/>
            <w:hideMark/>
          </w:tcPr>
          <w:p w14:paraId="036CEE9F"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Vendor risk management platform</w:t>
            </w:r>
          </w:p>
        </w:tc>
      </w:tr>
      <w:tr w:rsidR="002601CF" w:rsidRPr="002601CF" w14:paraId="5A65B8A8"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10A20A58" w14:textId="77777777" w:rsidR="002601CF" w:rsidRPr="002601CF" w:rsidRDefault="002601CF" w:rsidP="002601CF">
            <w:pPr>
              <w:spacing w:after="160" w:line="259" w:lineRule="auto"/>
            </w:pPr>
            <w:r w:rsidRPr="002601CF">
              <w:t>User Security Awareness</w:t>
            </w:r>
          </w:p>
        </w:tc>
        <w:tc>
          <w:tcPr>
            <w:tcW w:w="0" w:type="auto"/>
            <w:hideMark/>
          </w:tcPr>
          <w:p w14:paraId="33739A80"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Phishing simulations, post-training assessments</w:t>
            </w:r>
          </w:p>
        </w:tc>
        <w:tc>
          <w:tcPr>
            <w:tcW w:w="0" w:type="auto"/>
            <w:hideMark/>
          </w:tcPr>
          <w:p w14:paraId="74FAF3BE"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Phishing test platform, survey tools</w:t>
            </w:r>
          </w:p>
        </w:tc>
      </w:tr>
    </w:tbl>
    <w:p w14:paraId="2279D045" w14:textId="77777777" w:rsidR="002601CF" w:rsidRDefault="002601CF" w:rsidP="002601CF">
      <w:pPr>
        <w:rPr>
          <w:b/>
          <w:bCs/>
        </w:rPr>
      </w:pPr>
    </w:p>
    <w:p w14:paraId="0B69EFF5" w14:textId="375DBF1F" w:rsidR="002601CF" w:rsidRPr="002601CF" w:rsidRDefault="002601CF" w:rsidP="002601CF">
      <w:pPr>
        <w:rPr>
          <w:b/>
          <w:bCs/>
        </w:rPr>
      </w:pPr>
      <w:r w:rsidRPr="002601CF">
        <w:rPr>
          <w:b/>
          <w:bCs/>
        </w:rPr>
        <w:t>2.3 When Monitoring and Measurement Shall Be Performed</w:t>
      </w:r>
    </w:p>
    <w:tbl>
      <w:tblPr>
        <w:tblStyle w:val="GridTable5Dark-Accent1"/>
        <w:tblW w:w="9383" w:type="dxa"/>
        <w:tblLook w:val="04A0" w:firstRow="1" w:lastRow="0" w:firstColumn="1" w:lastColumn="0" w:noHBand="0" w:noVBand="1"/>
      </w:tblPr>
      <w:tblGrid>
        <w:gridCol w:w="3572"/>
        <w:gridCol w:w="5811"/>
      </w:tblGrid>
      <w:tr w:rsidR="002601CF" w:rsidRPr="002601CF" w14:paraId="5B213C43" w14:textId="77777777" w:rsidTr="002601CF">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7A274532" w14:textId="77777777" w:rsidR="002601CF" w:rsidRPr="002601CF" w:rsidRDefault="002601CF" w:rsidP="002601CF">
            <w:pPr>
              <w:spacing w:after="160" w:line="259" w:lineRule="auto"/>
            </w:pPr>
            <w:r w:rsidRPr="002601CF">
              <w:t>Monitoring Area</w:t>
            </w:r>
          </w:p>
        </w:tc>
        <w:tc>
          <w:tcPr>
            <w:tcW w:w="0" w:type="auto"/>
            <w:hideMark/>
          </w:tcPr>
          <w:p w14:paraId="4F967C09"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Frequency of Monitoring</w:t>
            </w:r>
          </w:p>
        </w:tc>
      </w:tr>
      <w:tr w:rsidR="002601CF" w:rsidRPr="002601CF" w14:paraId="6DE16F70" w14:textId="77777777" w:rsidTr="00260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2511ABC3" w14:textId="77777777" w:rsidR="002601CF" w:rsidRPr="002601CF" w:rsidRDefault="002601CF" w:rsidP="002601CF">
            <w:pPr>
              <w:spacing w:after="160" w:line="259" w:lineRule="auto"/>
            </w:pPr>
            <w:r w:rsidRPr="002601CF">
              <w:t>Incident Response Performance</w:t>
            </w:r>
          </w:p>
        </w:tc>
        <w:tc>
          <w:tcPr>
            <w:tcW w:w="0" w:type="auto"/>
            <w:hideMark/>
          </w:tcPr>
          <w:p w14:paraId="31F70E04"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Monthly, with real-time monitoring for critical incidents</w:t>
            </w:r>
          </w:p>
        </w:tc>
      </w:tr>
      <w:tr w:rsidR="002601CF" w:rsidRPr="002601CF" w14:paraId="69D34C0E" w14:textId="77777777" w:rsidTr="002601CF">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7C7D2088" w14:textId="77777777" w:rsidR="002601CF" w:rsidRPr="002601CF" w:rsidRDefault="002601CF" w:rsidP="002601CF">
            <w:pPr>
              <w:spacing w:after="160" w:line="259" w:lineRule="auto"/>
            </w:pPr>
            <w:r w:rsidRPr="002601CF">
              <w:t>Data Encryption Compliance</w:t>
            </w:r>
          </w:p>
        </w:tc>
        <w:tc>
          <w:tcPr>
            <w:tcW w:w="0" w:type="auto"/>
            <w:hideMark/>
          </w:tcPr>
          <w:p w14:paraId="6756038E"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Quarterly audits</w:t>
            </w:r>
          </w:p>
        </w:tc>
      </w:tr>
      <w:tr w:rsidR="002601CF" w:rsidRPr="002601CF" w14:paraId="695392DA" w14:textId="77777777" w:rsidTr="002601CF">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6A199D62" w14:textId="77777777" w:rsidR="002601CF" w:rsidRPr="002601CF" w:rsidRDefault="002601CF" w:rsidP="002601CF">
            <w:pPr>
              <w:spacing w:after="160" w:line="259" w:lineRule="auto"/>
            </w:pPr>
            <w:r w:rsidRPr="002601CF">
              <w:t>Access Control Compliance</w:t>
            </w:r>
          </w:p>
        </w:tc>
        <w:tc>
          <w:tcPr>
            <w:tcW w:w="0" w:type="auto"/>
            <w:hideMark/>
          </w:tcPr>
          <w:p w14:paraId="73B7B2CF"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Quarterly access reviews</w:t>
            </w:r>
          </w:p>
        </w:tc>
      </w:tr>
      <w:tr w:rsidR="002601CF" w:rsidRPr="002601CF" w14:paraId="1FB69724" w14:textId="77777777" w:rsidTr="002601CF">
        <w:trPr>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4635A583" w14:textId="77777777" w:rsidR="002601CF" w:rsidRPr="002601CF" w:rsidRDefault="002601CF" w:rsidP="002601CF">
            <w:pPr>
              <w:spacing w:after="160" w:line="259" w:lineRule="auto"/>
            </w:pPr>
            <w:r w:rsidRPr="002601CF">
              <w:t>Vulnerability Management</w:t>
            </w:r>
          </w:p>
        </w:tc>
        <w:tc>
          <w:tcPr>
            <w:tcW w:w="0" w:type="auto"/>
            <w:hideMark/>
          </w:tcPr>
          <w:p w14:paraId="131B7726"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Monthly scans, annual penetration tests</w:t>
            </w:r>
          </w:p>
        </w:tc>
      </w:tr>
      <w:tr w:rsidR="002601CF" w:rsidRPr="002601CF" w14:paraId="0AF06446" w14:textId="77777777" w:rsidTr="002601CF">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3AD10B9B" w14:textId="77777777" w:rsidR="002601CF" w:rsidRPr="002601CF" w:rsidRDefault="002601CF" w:rsidP="002601CF">
            <w:pPr>
              <w:spacing w:after="160" w:line="259" w:lineRule="auto"/>
            </w:pPr>
            <w:r w:rsidRPr="002601CF">
              <w:t>Vendor Risk Management</w:t>
            </w:r>
          </w:p>
        </w:tc>
        <w:tc>
          <w:tcPr>
            <w:tcW w:w="0" w:type="auto"/>
            <w:hideMark/>
          </w:tcPr>
          <w:p w14:paraId="00B716C0"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Bi-annual audits, continuous monitoring</w:t>
            </w:r>
          </w:p>
        </w:tc>
      </w:tr>
      <w:tr w:rsidR="002601CF" w:rsidRPr="002601CF" w14:paraId="2620D88C" w14:textId="77777777" w:rsidTr="002601CF">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43437E77" w14:textId="77777777" w:rsidR="002601CF" w:rsidRPr="002601CF" w:rsidRDefault="002601CF" w:rsidP="002601CF">
            <w:pPr>
              <w:spacing w:after="160" w:line="259" w:lineRule="auto"/>
            </w:pPr>
            <w:r w:rsidRPr="002601CF">
              <w:t>User Security Awareness</w:t>
            </w:r>
          </w:p>
        </w:tc>
        <w:tc>
          <w:tcPr>
            <w:tcW w:w="0" w:type="auto"/>
            <w:hideMark/>
          </w:tcPr>
          <w:p w14:paraId="0F576094"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Quarterly phishing simulations, post-training evaluations</w:t>
            </w:r>
          </w:p>
        </w:tc>
      </w:tr>
    </w:tbl>
    <w:p w14:paraId="188888D1" w14:textId="77777777" w:rsidR="002601CF" w:rsidRDefault="002601CF" w:rsidP="002601CF">
      <w:pPr>
        <w:rPr>
          <w:b/>
          <w:bCs/>
        </w:rPr>
      </w:pPr>
    </w:p>
    <w:p w14:paraId="552030F9" w14:textId="1F18E150" w:rsidR="002601CF" w:rsidRPr="002601CF" w:rsidRDefault="002601CF" w:rsidP="002601CF">
      <w:pPr>
        <w:rPr>
          <w:b/>
          <w:bCs/>
        </w:rPr>
      </w:pPr>
      <w:r w:rsidRPr="002601CF">
        <w:rPr>
          <w:b/>
          <w:bCs/>
        </w:rPr>
        <w:lastRenderedPageBreak/>
        <w:t xml:space="preserve">2.4 Who Shall Monitor and </w:t>
      </w:r>
      <w:proofErr w:type="gramStart"/>
      <w:r w:rsidRPr="002601CF">
        <w:rPr>
          <w:b/>
          <w:bCs/>
        </w:rPr>
        <w:t>Measure</w:t>
      </w:r>
      <w:proofErr w:type="gramEnd"/>
    </w:p>
    <w:p w14:paraId="4F03B08D" w14:textId="77777777" w:rsidR="002601CF" w:rsidRPr="002601CF" w:rsidRDefault="002601CF" w:rsidP="002601CF">
      <w:r w:rsidRPr="002601CF">
        <w:t>The following personnel and teams are responsible for monitoring and measuring the performance of the ISMS:</w:t>
      </w:r>
    </w:p>
    <w:tbl>
      <w:tblPr>
        <w:tblStyle w:val="GridTable5Dark-Accent1"/>
        <w:tblW w:w="9344" w:type="dxa"/>
        <w:tblLook w:val="04A0" w:firstRow="1" w:lastRow="0" w:firstColumn="1" w:lastColumn="0" w:noHBand="0" w:noVBand="1"/>
      </w:tblPr>
      <w:tblGrid>
        <w:gridCol w:w="3914"/>
        <w:gridCol w:w="5430"/>
      </w:tblGrid>
      <w:tr w:rsidR="002601CF" w:rsidRPr="002601CF" w14:paraId="41F7AB4E" w14:textId="77777777" w:rsidTr="002601CF">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5B98E0DF" w14:textId="77777777" w:rsidR="002601CF" w:rsidRPr="002601CF" w:rsidRDefault="002601CF" w:rsidP="002601CF">
            <w:pPr>
              <w:spacing w:after="160" w:line="259" w:lineRule="auto"/>
            </w:pPr>
            <w:r w:rsidRPr="002601CF">
              <w:t>Monitoring Area</w:t>
            </w:r>
          </w:p>
        </w:tc>
        <w:tc>
          <w:tcPr>
            <w:tcW w:w="0" w:type="auto"/>
            <w:hideMark/>
          </w:tcPr>
          <w:p w14:paraId="12F7A813"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Responsible Party</w:t>
            </w:r>
          </w:p>
        </w:tc>
      </w:tr>
      <w:tr w:rsidR="002601CF" w:rsidRPr="002601CF" w14:paraId="5519C78A" w14:textId="77777777" w:rsidTr="002601C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5573B756" w14:textId="77777777" w:rsidR="002601CF" w:rsidRPr="002601CF" w:rsidRDefault="002601CF" w:rsidP="002601CF">
            <w:pPr>
              <w:spacing w:after="160" w:line="259" w:lineRule="auto"/>
            </w:pPr>
            <w:r w:rsidRPr="002601CF">
              <w:t>Incident Response Performance</w:t>
            </w:r>
          </w:p>
        </w:tc>
        <w:tc>
          <w:tcPr>
            <w:tcW w:w="0" w:type="auto"/>
            <w:hideMark/>
          </w:tcPr>
          <w:p w14:paraId="534D3C93"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SOC (Security Operations Center) Team</w:t>
            </w:r>
          </w:p>
        </w:tc>
      </w:tr>
      <w:tr w:rsidR="002601CF" w:rsidRPr="002601CF" w14:paraId="46C204FB" w14:textId="77777777" w:rsidTr="002601CF">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5908E7CD" w14:textId="77777777" w:rsidR="002601CF" w:rsidRPr="002601CF" w:rsidRDefault="002601CF" w:rsidP="002601CF">
            <w:pPr>
              <w:spacing w:after="160" w:line="259" w:lineRule="auto"/>
            </w:pPr>
            <w:r w:rsidRPr="002601CF">
              <w:t>Data Encryption Compliance</w:t>
            </w:r>
          </w:p>
        </w:tc>
        <w:tc>
          <w:tcPr>
            <w:tcW w:w="0" w:type="auto"/>
            <w:hideMark/>
          </w:tcPr>
          <w:p w14:paraId="45B1882D"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Data Protection Officer (DPO), IT Security Team</w:t>
            </w:r>
          </w:p>
        </w:tc>
      </w:tr>
      <w:tr w:rsidR="002601CF" w:rsidRPr="002601CF" w14:paraId="02C0C985" w14:textId="77777777" w:rsidTr="002601C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1C45FAD6" w14:textId="77777777" w:rsidR="002601CF" w:rsidRPr="002601CF" w:rsidRDefault="002601CF" w:rsidP="002601CF">
            <w:pPr>
              <w:spacing w:after="160" w:line="259" w:lineRule="auto"/>
            </w:pPr>
            <w:r w:rsidRPr="002601CF">
              <w:t>Access Control Compliance</w:t>
            </w:r>
          </w:p>
        </w:tc>
        <w:tc>
          <w:tcPr>
            <w:tcW w:w="0" w:type="auto"/>
            <w:hideMark/>
          </w:tcPr>
          <w:p w14:paraId="43B49B90"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IT Security Team, Access Control Administrators</w:t>
            </w:r>
          </w:p>
        </w:tc>
      </w:tr>
      <w:tr w:rsidR="002601CF" w:rsidRPr="002601CF" w14:paraId="530C2DD2" w14:textId="77777777" w:rsidTr="002601CF">
        <w:trPr>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38FF9D80" w14:textId="77777777" w:rsidR="002601CF" w:rsidRPr="002601CF" w:rsidRDefault="002601CF" w:rsidP="002601CF">
            <w:pPr>
              <w:spacing w:after="160" w:line="259" w:lineRule="auto"/>
            </w:pPr>
            <w:r w:rsidRPr="002601CF">
              <w:t>Vulnerability Management</w:t>
            </w:r>
          </w:p>
        </w:tc>
        <w:tc>
          <w:tcPr>
            <w:tcW w:w="0" w:type="auto"/>
            <w:hideMark/>
          </w:tcPr>
          <w:p w14:paraId="414A1B75"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IT Security Team</w:t>
            </w:r>
          </w:p>
        </w:tc>
      </w:tr>
      <w:tr w:rsidR="002601CF" w:rsidRPr="002601CF" w14:paraId="2C7C38CA" w14:textId="77777777" w:rsidTr="002601C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1546B4B9" w14:textId="77777777" w:rsidR="002601CF" w:rsidRPr="002601CF" w:rsidRDefault="002601CF" w:rsidP="002601CF">
            <w:pPr>
              <w:spacing w:after="160" w:line="259" w:lineRule="auto"/>
            </w:pPr>
            <w:r w:rsidRPr="002601CF">
              <w:t>Vendor Risk Management</w:t>
            </w:r>
          </w:p>
        </w:tc>
        <w:tc>
          <w:tcPr>
            <w:tcW w:w="0" w:type="auto"/>
            <w:hideMark/>
          </w:tcPr>
          <w:p w14:paraId="548FD21B"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Vendor Management Lead</w:t>
            </w:r>
          </w:p>
        </w:tc>
      </w:tr>
      <w:tr w:rsidR="002601CF" w:rsidRPr="002601CF" w14:paraId="5A041294" w14:textId="77777777" w:rsidTr="002601CF">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49B7533" w14:textId="77777777" w:rsidR="002601CF" w:rsidRPr="002601CF" w:rsidRDefault="002601CF" w:rsidP="002601CF">
            <w:pPr>
              <w:spacing w:after="160" w:line="259" w:lineRule="auto"/>
            </w:pPr>
            <w:r w:rsidRPr="002601CF">
              <w:t>User Security Awareness</w:t>
            </w:r>
          </w:p>
        </w:tc>
        <w:tc>
          <w:tcPr>
            <w:tcW w:w="0" w:type="auto"/>
            <w:hideMark/>
          </w:tcPr>
          <w:p w14:paraId="4AEBFADF"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HR, IT Security Team</w:t>
            </w:r>
          </w:p>
        </w:tc>
      </w:tr>
    </w:tbl>
    <w:p w14:paraId="0A079078" w14:textId="77777777" w:rsidR="002601CF" w:rsidRDefault="002601CF" w:rsidP="002601CF">
      <w:pPr>
        <w:rPr>
          <w:b/>
          <w:bCs/>
        </w:rPr>
      </w:pPr>
    </w:p>
    <w:p w14:paraId="6949A23D" w14:textId="25C82386" w:rsidR="002601CF" w:rsidRPr="002601CF" w:rsidRDefault="002601CF" w:rsidP="002601CF">
      <w:pPr>
        <w:rPr>
          <w:b/>
          <w:bCs/>
        </w:rPr>
      </w:pPr>
      <w:r w:rsidRPr="002601CF">
        <w:rPr>
          <w:b/>
          <w:bCs/>
        </w:rPr>
        <w:t>2.5 When Results Shall Be Analyzed and Evaluated</w:t>
      </w:r>
    </w:p>
    <w:tbl>
      <w:tblPr>
        <w:tblStyle w:val="GridTable5Dark-Accent1"/>
        <w:tblW w:w="0" w:type="auto"/>
        <w:tblLook w:val="04A0" w:firstRow="1" w:lastRow="0" w:firstColumn="1" w:lastColumn="0" w:noHBand="0" w:noVBand="1"/>
      </w:tblPr>
      <w:tblGrid>
        <w:gridCol w:w="3135"/>
        <w:gridCol w:w="6215"/>
      </w:tblGrid>
      <w:tr w:rsidR="002601CF" w:rsidRPr="002601CF" w14:paraId="014CB8A5" w14:textId="77777777" w:rsidTr="00260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1DC45" w14:textId="77777777" w:rsidR="002601CF" w:rsidRPr="002601CF" w:rsidRDefault="002601CF" w:rsidP="002601CF">
            <w:pPr>
              <w:spacing w:after="160" w:line="259" w:lineRule="auto"/>
            </w:pPr>
            <w:r w:rsidRPr="002601CF">
              <w:t>Monitoring Area</w:t>
            </w:r>
          </w:p>
        </w:tc>
        <w:tc>
          <w:tcPr>
            <w:tcW w:w="0" w:type="auto"/>
            <w:hideMark/>
          </w:tcPr>
          <w:p w14:paraId="1BCC224E"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When Results Are Analyzed</w:t>
            </w:r>
          </w:p>
        </w:tc>
      </w:tr>
      <w:tr w:rsidR="002601CF" w:rsidRPr="002601CF" w14:paraId="1FD5DE37"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44F28" w14:textId="77777777" w:rsidR="002601CF" w:rsidRPr="002601CF" w:rsidRDefault="002601CF" w:rsidP="002601CF">
            <w:pPr>
              <w:spacing w:after="160" w:line="259" w:lineRule="auto"/>
            </w:pPr>
            <w:r w:rsidRPr="002601CF">
              <w:t>Incident Response Performance</w:t>
            </w:r>
          </w:p>
        </w:tc>
        <w:tc>
          <w:tcPr>
            <w:tcW w:w="0" w:type="auto"/>
            <w:hideMark/>
          </w:tcPr>
          <w:p w14:paraId="786D9ABB"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Monthly, with real-time analysis for critical incidents</w:t>
            </w:r>
          </w:p>
        </w:tc>
      </w:tr>
      <w:tr w:rsidR="002601CF" w:rsidRPr="002601CF" w14:paraId="41317004"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6ABA9535" w14:textId="77777777" w:rsidR="002601CF" w:rsidRPr="002601CF" w:rsidRDefault="002601CF" w:rsidP="002601CF">
            <w:pPr>
              <w:spacing w:after="160" w:line="259" w:lineRule="auto"/>
            </w:pPr>
            <w:r w:rsidRPr="002601CF">
              <w:t>Data Encryption Compliance</w:t>
            </w:r>
          </w:p>
        </w:tc>
        <w:tc>
          <w:tcPr>
            <w:tcW w:w="0" w:type="auto"/>
            <w:hideMark/>
          </w:tcPr>
          <w:p w14:paraId="12FAF90F"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Quarterly report to the Information Security Steering Committee</w:t>
            </w:r>
          </w:p>
        </w:tc>
      </w:tr>
      <w:tr w:rsidR="002601CF" w:rsidRPr="002601CF" w14:paraId="5DDE4120"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332CE" w14:textId="77777777" w:rsidR="002601CF" w:rsidRPr="002601CF" w:rsidRDefault="002601CF" w:rsidP="002601CF">
            <w:pPr>
              <w:spacing w:after="160" w:line="259" w:lineRule="auto"/>
            </w:pPr>
            <w:r w:rsidRPr="002601CF">
              <w:t>Access Control Compliance</w:t>
            </w:r>
          </w:p>
        </w:tc>
        <w:tc>
          <w:tcPr>
            <w:tcW w:w="0" w:type="auto"/>
            <w:hideMark/>
          </w:tcPr>
          <w:p w14:paraId="2FE0CB26"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Quarterly analysis of access logs and user reviews</w:t>
            </w:r>
          </w:p>
        </w:tc>
      </w:tr>
      <w:tr w:rsidR="002601CF" w:rsidRPr="002601CF" w14:paraId="74F8CF12"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32755E0A" w14:textId="77777777" w:rsidR="002601CF" w:rsidRPr="002601CF" w:rsidRDefault="002601CF" w:rsidP="002601CF">
            <w:pPr>
              <w:spacing w:after="160" w:line="259" w:lineRule="auto"/>
            </w:pPr>
            <w:r w:rsidRPr="002601CF">
              <w:t>Vulnerability Management</w:t>
            </w:r>
          </w:p>
        </w:tc>
        <w:tc>
          <w:tcPr>
            <w:tcW w:w="0" w:type="auto"/>
            <w:hideMark/>
          </w:tcPr>
          <w:p w14:paraId="5BA5714F"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Monthly review of vulnerability scan results, annual pen-test analysis</w:t>
            </w:r>
          </w:p>
        </w:tc>
      </w:tr>
      <w:tr w:rsidR="002601CF" w:rsidRPr="002601CF" w14:paraId="279C0EBF"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CCA8C" w14:textId="77777777" w:rsidR="002601CF" w:rsidRPr="002601CF" w:rsidRDefault="002601CF" w:rsidP="002601CF">
            <w:pPr>
              <w:spacing w:after="160" w:line="259" w:lineRule="auto"/>
            </w:pPr>
            <w:r w:rsidRPr="002601CF">
              <w:t>Vendor Risk Management</w:t>
            </w:r>
          </w:p>
        </w:tc>
        <w:tc>
          <w:tcPr>
            <w:tcW w:w="0" w:type="auto"/>
            <w:hideMark/>
          </w:tcPr>
          <w:p w14:paraId="39630AA4"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Bi-annual review of vendor compliance status</w:t>
            </w:r>
          </w:p>
        </w:tc>
      </w:tr>
      <w:tr w:rsidR="002601CF" w:rsidRPr="002601CF" w14:paraId="23C74EDE"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28EE6EB5" w14:textId="77777777" w:rsidR="002601CF" w:rsidRPr="002601CF" w:rsidRDefault="002601CF" w:rsidP="002601CF">
            <w:pPr>
              <w:spacing w:after="160" w:line="259" w:lineRule="auto"/>
            </w:pPr>
            <w:r w:rsidRPr="002601CF">
              <w:t>User Security Awareness</w:t>
            </w:r>
          </w:p>
        </w:tc>
        <w:tc>
          <w:tcPr>
            <w:tcW w:w="0" w:type="auto"/>
            <w:hideMark/>
          </w:tcPr>
          <w:p w14:paraId="5E19EDDE"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Quarterly review of phishing simulation results and training effectiveness</w:t>
            </w:r>
          </w:p>
        </w:tc>
      </w:tr>
    </w:tbl>
    <w:p w14:paraId="2B2DDCF1" w14:textId="77777777" w:rsidR="002601CF" w:rsidRDefault="002601CF" w:rsidP="002601CF">
      <w:pPr>
        <w:rPr>
          <w:b/>
          <w:bCs/>
        </w:rPr>
      </w:pPr>
    </w:p>
    <w:p w14:paraId="30295FBC" w14:textId="2639CDCC" w:rsidR="002601CF" w:rsidRPr="002601CF" w:rsidRDefault="002601CF" w:rsidP="002601CF">
      <w:pPr>
        <w:rPr>
          <w:b/>
          <w:bCs/>
        </w:rPr>
      </w:pPr>
      <w:r w:rsidRPr="002601CF">
        <w:rPr>
          <w:b/>
          <w:bCs/>
        </w:rPr>
        <w:t>2.6 Who Shall Analyze and Evaluate the Results</w:t>
      </w:r>
    </w:p>
    <w:tbl>
      <w:tblPr>
        <w:tblStyle w:val="GridTable5Dark-Accent1"/>
        <w:tblW w:w="0" w:type="auto"/>
        <w:tblLook w:val="04A0" w:firstRow="1" w:lastRow="0" w:firstColumn="1" w:lastColumn="0" w:noHBand="0" w:noVBand="1"/>
      </w:tblPr>
      <w:tblGrid>
        <w:gridCol w:w="3158"/>
        <w:gridCol w:w="6192"/>
      </w:tblGrid>
      <w:tr w:rsidR="002601CF" w:rsidRPr="002601CF" w14:paraId="777261DF" w14:textId="77777777" w:rsidTr="00260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A74E8" w14:textId="77777777" w:rsidR="002601CF" w:rsidRPr="002601CF" w:rsidRDefault="002601CF" w:rsidP="002601CF">
            <w:pPr>
              <w:spacing w:after="160" w:line="259" w:lineRule="auto"/>
            </w:pPr>
            <w:r w:rsidRPr="002601CF">
              <w:t>Monitoring Area</w:t>
            </w:r>
          </w:p>
        </w:tc>
        <w:tc>
          <w:tcPr>
            <w:tcW w:w="0" w:type="auto"/>
            <w:hideMark/>
          </w:tcPr>
          <w:p w14:paraId="4973B84E" w14:textId="77777777" w:rsidR="002601CF" w:rsidRPr="002601CF" w:rsidRDefault="002601CF" w:rsidP="002601CF">
            <w:pPr>
              <w:spacing w:after="160" w:line="259" w:lineRule="auto"/>
              <w:cnfStyle w:val="100000000000" w:firstRow="1" w:lastRow="0" w:firstColumn="0" w:lastColumn="0" w:oddVBand="0" w:evenVBand="0" w:oddHBand="0" w:evenHBand="0" w:firstRowFirstColumn="0" w:firstRowLastColumn="0" w:lastRowFirstColumn="0" w:lastRowLastColumn="0"/>
            </w:pPr>
            <w:r w:rsidRPr="002601CF">
              <w:t>Responsible for Analysis and Evaluation</w:t>
            </w:r>
          </w:p>
        </w:tc>
      </w:tr>
      <w:tr w:rsidR="002601CF" w:rsidRPr="002601CF" w14:paraId="0207CD7D"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21AA89" w14:textId="77777777" w:rsidR="002601CF" w:rsidRPr="002601CF" w:rsidRDefault="002601CF" w:rsidP="002601CF">
            <w:pPr>
              <w:spacing w:after="160" w:line="259" w:lineRule="auto"/>
            </w:pPr>
            <w:r w:rsidRPr="002601CF">
              <w:t>Incident Response Performance</w:t>
            </w:r>
          </w:p>
        </w:tc>
        <w:tc>
          <w:tcPr>
            <w:tcW w:w="0" w:type="auto"/>
            <w:hideMark/>
          </w:tcPr>
          <w:p w14:paraId="789833CA"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SOC Manager, IT Security Manager</w:t>
            </w:r>
          </w:p>
        </w:tc>
      </w:tr>
      <w:tr w:rsidR="002601CF" w:rsidRPr="002601CF" w14:paraId="35A5ADDA"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0062E6B1" w14:textId="77777777" w:rsidR="002601CF" w:rsidRPr="002601CF" w:rsidRDefault="002601CF" w:rsidP="002601CF">
            <w:pPr>
              <w:spacing w:after="160" w:line="259" w:lineRule="auto"/>
            </w:pPr>
            <w:r w:rsidRPr="002601CF">
              <w:t>Data Encryption Compliance</w:t>
            </w:r>
          </w:p>
        </w:tc>
        <w:tc>
          <w:tcPr>
            <w:tcW w:w="0" w:type="auto"/>
            <w:hideMark/>
          </w:tcPr>
          <w:p w14:paraId="6D38C335"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Data Protection Officer (DPO), Chief Information Security Officer (CISO)</w:t>
            </w:r>
          </w:p>
        </w:tc>
      </w:tr>
      <w:tr w:rsidR="002601CF" w:rsidRPr="002601CF" w14:paraId="7064357F"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B598A" w14:textId="77777777" w:rsidR="002601CF" w:rsidRPr="002601CF" w:rsidRDefault="002601CF" w:rsidP="002601CF">
            <w:pPr>
              <w:spacing w:after="160" w:line="259" w:lineRule="auto"/>
            </w:pPr>
            <w:r w:rsidRPr="002601CF">
              <w:lastRenderedPageBreak/>
              <w:t>Access Control Compliance</w:t>
            </w:r>
          </w:p>
        </w:tc>
        <w:tc>
          <w:tcPr>
            <w:tcW w:w="0" w:type="auto"/>
            <w:hideMark/>
          </w:tcPr>
          <w:p w14:paraId="3E76D8B4"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IT Security Manager, CISO</w:t>
            </w:r>
          </w:p>
        </w:tc>
      </w:tr>
      <w:tr w:rsidR="002601CF" w:rsidRPr="002601CF" w14:paraId="6C16F0F3"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4F654D9C" w14:textId="77777777" w:rsidR="002601CF" w:rsidRPr="002601CF" w:rsidRDefault="002601CF" w:rsidP="002601CF">
            <w:pPr>
              <w:spacing w:after="160" w:line="259" w:lineRule="auto"/>
            </w:pPr>
            <w:r w:rsidRPr="002601CF">
              <w:t>Vulnerability Management</w:t>
            </w:r>
          </w:p>
        </w:tc>
        <w:tc>
          <w:tcPr>
            <w:tcW w:w="0" w:type="auto"/>
            <w:hideMark/>
          </w:tcPr>
          <w:p w14:paraId="7C5F38E7"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IT Security Manager, CISO</w:t>
            </w:r>
          </w:p>
        </w:tc>
      </w:tr>
      <w:tr w:rsidR="002601CF" w:rsidRPr="002601CF" w14:paraId="2B7357DE" w14:textId="77777777" w:rsidTr="00260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67E02" w14:textId="77777777" w:rsidR="002601CF" w:rsidRPr="002601CF" w:rsidRDefault="002601CF" w:rsidP="002601CF">
            <w:pPr>
              <w:spacing w:after="160" w:line="259" w:lineRule="auto"/>
            </w:pPr>
            <w:r w:rsidRPr="002601CF">
              <w:t>Vendor Risk Management</w:t>
            </w:r>
          </w:p>
        </w:tc>
        <w:tc>
          <w:tcPr>
            <w:tcW w:w="0" w:type="auto"/>
            <w:hideMark/>
          </w:tcPr>
          <w:p w14:paraId="2ABCE393" w14:textId="77777777" w:rsidR="002601CF" w:rsidRPr="002601CF" w:rsidRDefault="002601CF" w:rsidP="002601CF">
            <w:pPr>
              <w:spacing w:after="160" w:line="259" w:lineRule="auto"/>
              <w:cnfStyle w:val="000000100000" w:firstRow="0" w:lastRow="0" w:firstColumn="0" w:lastColumn="0" w:oddVBand="0" w:evenVBand="0" w:oddHBand="1" w:evenHBand="0" w:firstRowFirstColumn="0" w:firstRowLastColumn="0" w:lastRowFirstColumn="0" w:lastRowLastColumn="0"/>
            </w:pPr>
            <w:r w:rsidRPr="002601CF">
              <w:t>Vendor Management Lead, Risk &amp; Compliance Manager</w:t>
            </w:r>
          </w:p>
        </w:tc>
      </w:tr>
      <w:tr w:rsidR="002601CF" w:rsidRPr="002601CF" w14:paraId="5EFAD3CC" w14:textId="77777777" w:rsidTr="002601CF">
        <w:tc>
          <w:tcPr>
            <w:cnfStyle w:val="001000000000" w:firstRow="0" w:lastRow="0" w:firstColumn="1" w:lastColumn="0" w:oddVBand="0" w:evenVBand="0" w:oddHBand="0" w:evenHBand="0" w:firstRowFirstColumn="0" w:firstRowLastColumn="0" w:lastRowFirstColumn="0" w:lastRowLastColumn="0"/>
            <w:tcW w:w="0" w:type="auto"/>
            <w:hideMark/>
          </w:tcPr>
          <w:p w14:paraId="02FEB4D9" w14:textId="77777777" w:rsidR="002601CF" w:rsidRPr="002601CF" w:rsidRDefault="002601CF" w:rsidP="002601CF">
            <w:pPr>
              <w:spacing w:after="160" w:line="259" w:lineRule="auto"/>
            </w:pPr>
            <w:r w:rsidRPr="002601CF">
              <w:t>User Security Awareness</w:t>
            </w:r>
          </w:p>
        </w:tc>
        <w:tc>
          <w:tcPr>
            <w:tcW w:w="0" w:type="auto"/>
            <w:hideMark/>
          </w:tcPr>
          <w:p w14:paraId="006C8A1B" w14:textId="77777777" w:rsidR="002601CF" w:rsidRPr="002601CF" w:rsidRDefault="002601CF" w:rsidP="002601CF">
            <w:pPr>
              <w:spacing w:after="160" w:line="259" w:lineRule="auto"/>
              <w:cnfStyle w:val="000000000000" w:firstRow="0" w:lastRow="0" w:firstColumn="0" w:lastColumn="0" w:oddVBand="0" w:evenVBand="0" w:oddHBand="0" w:evenHBand="0" w:firstRowFirstColumn="0" w:firstRowLastColumn="0" w:lastRowFirstColumn="0" w:lastRowLastColumn="0"/>
            </w:pPr>
            <w:r w:rsidRPr="002601CF">
              <w:t>HR Manager, IT Security Manager</w:t>
            </w:r>
          </w:p>
        </w:tc>
      </w:tr>
    </w:tbl>
    <w:p w14:paraId="1D891EB3" w14:textId="77777777" w:rsidR="002601CF" w:rsidRPr="002601CF" w:rsidRDefault="002601CF" w:rsidP="002601CF">
      <w:pPr>
        <w:pStyle w:val="Heading1"/>
      </w:pPr>
      <w:r w:rsidRPr="002601CF">
        <w:t>3. Risk Management Process Diagram</w:t>
      </w:r>
    </w:p>
    <w:p w14:paraId="306B8528" w14:textId="77777777" w:rsidR="002601CF" w:rsidRDefault="002601CF" w:rsidP="002601CF">
      <w:r w:rsidRPr="002601CF">
        <w:t xml:space="preserve">The following diagram represents the </w:t>
      </w:r>
      <w:r w:rsidRPr="002601CF">
        <w:rPr>
          <w:b/>
          <w:bCs/>
        </w:rPr>
        <w:t>Risk Management Process</w:t>
      </w:r>
      <w:r w:rsidRPr="002601CF">
        <w:t>, which includes risk identification, treatment, monitoring, and review.</w:t>
      </w:r>
    </w:p>
    <w:p w14:paraId="6E6A8310" w14:textId="77777777" w:rsidR="000146C9" w:rsidRDefault="000146C9" w:rsidP="002601CF"/>
    <w:p w14:paraId="6FFE56D4" w14:textId="68F49B9B" w:rsidR="002601CF" w:rsidRPr="002601CF" w:rsidRDefault="000551F5" w:rsidP="00E23EC2">
      <w:pPr>
        <w:jc w:val="center"/>
      </w:pPr>
      <w:r w:rsidRPr="000551F5">
        <w:drawing>
          <wp:inline distT="0" distB="0" distL="0" distR="0" wp14:anchorId="2505A2E7" wp14:editId="6B04EF8D">
            <wp:extent cx="4160520" cy="5560269"/>
            <wp:effectExtent l="0" t="0" r="0" b="2540"/>
            <wp:docPr id="204477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78017" name=""/>
                    <pic:cNvPicPr/>
                  </pic:nvPicPr>
                  <pic:blipFill>
                    <a:blip r:embed="rId6"/>
                    <a:stretch>
                      <a:fillRect/>
                    </a:stretch>
                  </pic:blipFill>
                  <pic:spPr>
                    <a:xfrm>
                      <a:off x="0" y="0"/>
                      <a:ext cx="4163093" cy="5563707"/>
                    </a:xfrm>
                    <a:prstGeom prst="rect">
                      <a:avLst/>
                    </a:prstGeom>
                  </pic:spPr>
                </pic:pic>
              </a:graphicData>
            </a:graphic>
          </wp:inline>
        </w:drawing>
      </w:r>
    </w:p>
    <w:p w14:paraId="2A94AF4C" w14:textId="77777777" w:rsidR="002601CF" w:rsidRPr="002601CF" w:rsidRDefault="002601CF" w:rsidP="002601CF">
      <w:pPr>
        <w:pStyle w:val="Heading1"/>
      </w:pPr>
      <w:r w:rsidRPr="002601CF">
        <w:lastRenderedPageBreak/>
        <w:t>4. Evidence of Monitoring and Evaluation</w:t>
      </w:r>
    </w:p>
    <w:p w14:paraId="2515BEB1" w14:textId="77777777" w:rsidR="002601CF" w:rsidRPr="002601CF" w:rsidRDefault="002601CF" w:rsidP="002601CF">
      <w:pPr>
        <w:rPr>
          <w:b/>
          <w:bCs/>
        </w:rPr>
      </w:pPr>
      <w:r w:rsidRPr="002601CF">
        <w:rPr>
          <w:b/>
          <w:bCs/>
        </w:rPr>
        <w:t>4.1 Incident Response Monitoring</w:t>
      </w:r>
    </w:p>
    <w:p w14:paraId="4E415C19" w14:textId="77777777" w:rsidR="002601CF" w:rsidRPr="002601CF" w:rsidRDefault="002601CF" w:rsidP="002601CF">
      <w:pPr>
        <w:numPr>
          <w:ilvl w:val="0"/>
          <w:numId w:val="32"/>
        </w:numPr>
      </w:pPr>
      <w:r w:rsidRPr="002601CF">
        <w:rPr>
          <w:b/>
          <w:bCs/>
        </w:rPr>
        <w:t>Monthly Incident Reports:</w:t>
      </w:r>
      <w:r w:rsidRPr="002601CF">
        <w:t xml:space="preserve"> SOC logs and incident response performance are documented and reported to the CISO. The monthly incident reports include incident count, response times, and severity levels.</w:t>
      </w:r>
    </w:p>
    <w:p w14:paraId="3C771615" w14:textId="77777777" w:rsidR="002601CF" w:rsidRPr="002601CF" w:rsidRDefault="002601CF" w:rsidP="002601CF">
      <w:pPr>
        <w:numPr>
          <w:ilvl w:val="0"/>
          <w:numId w:val="32"/>
        </w:numPr>
      </w:pPr>
      <w:r w:rsidRPr="002601CF">
        <w:rPr>
          <w:b/>
          <w:bCs/>
        </w:rPr>
        <w:t>Critical Incident Analysis:</w:t>
      </w:r>
      <w:r w:rsidRPr="002601CF">
        <w:t xml:space="preserve"> Any critical security incident undergoes real-time monitoring and immediate review, with a detailed report submitted to senior management.</w:t>
      </w:r>
    </w:p>
    <w:p w14:paraId="3F96E5CA" w14:textId="77777777" w:rsidR="002601CF" w:rsidRPr="002601CF" w:rsidRDefault="002601CF" w:rsidP="002601CF">
      <w:pPr>
        <w:rPr>
          <w:b/>
          <w:bCs/>
        </w:rPr>
      </w:pPr>
      <w:r w:rsidRPr="002601CF">
        <w:rPr>
          <w:b/>
          <w:bCs/>
        </w:rPr>
        <w:t>4.2 Data Encryption Compliance</w:t>
      </w:r>
    </w:p>
    <w:p w14:paraId="1AFA5F23" w14:textId="77777777" w:rsidR="002601CF" w:rsidRPr="002601CF" w:rsidRDefault="002601CF" w:rsidP="002601CF">
      <w:pPr>
        <w:numPr>
          <w:ilvl w:val="0"/>
          <w:numId w:val="33"/>
        </w:numPr>
      </w:pPr>
      <w:r w:rsidRPr="002601CF">
        <w:rPr>
          <w:b/>
          <w:bCs/>
        </w:rPr>
        <w:t>Quarterly Encryption Audits:</w:t>
      </w:r>
      <w:r w:rsidRPr="002601CF">
        <w:t xml:space="preserve"> Encryption audits are performed by the DPO, and the results are presented to the Information Security Steering Committee. The audits track encryption coverage for all critical systems and identify any gaps in compliance.</w:t>
      </w:r>
    </w:p>
    <w:p w14:paraId="122072A5" w14:textId="77777777" w:rsidR="002601CF" w:rsidRPr="002601CF" w:rsidRDefault="002601CF" w:rsidP="002601CF">
      <w:pPr>
        <w:rPr>
          <w:b/>
          <w:bCs/>
        </w:rPr>
      </w:pPr>
      <w:r w:rsidRPr="002601CF">
        <w:rPr>
          <w:b/>
          <w:bCs/>
        </w:rPr>
        <w:t>4.3 Vulnerability Management</w:t>
      </w:r>
    </w:p>
    <w:p w14:paraId="01DAEEE0" w14:textId="77777777" w:rsidR="002601CF" w:rsidRPr="002601CF" w:rsidRDefault="002601CF" w:rsidP="002601CF">
      <w:pPr>
        <w:numPr>
          <w:ilvl w:val="0"/>
          <w:numId w:val="34"/>
        </w:numPr>
      </w:pPr>
      <w:r w:rsidRPr="002601CF">
        <w:rPr>
          <w:b/>
          <w:bCs/>
        </w:rPr>
        <w:t>Vulnerability Scan Results:</w:t>
      </w:r>
      <w:r w:rsidRPr="002601CF">
        <w:t xml:space="preserve"> Monthly vulnerability scans are conducted, and the results are documented. The IT Security Team analyzes scan results to identify high-risk vulnerabilities and prioritize remediation efforts.</w:t>
      </w:r>
    </w:p>
    <w:p w14:paraId="470AAD10" w14:textId="77777777" w:rsidR="002601CF" w:rsidRPr="002601CF" w:rsidRDefault="002601CF" w:rsidP="002601CF">
      <w:pPr>
        <w:numPr>
          <w:ilvl w:val="0"/>
          <w:numId w:val="34"/>
        </w:numPr>
      </w:pPr>
      <w:r w:rsidRPr="002601CF">
        <w:rPr>
          <w:b/>
          <w:bCs/>
        </w:rPr>
        <w:t>Annual Penetration Testing Report:</w:t>
      </w:r>
      <w:r w:rsidRPr="002601CF">
        <w:t xml:space="preserve"> The annual penetration test report is analyzed by the IT Security Manager and used to update the vulnerability management process.</w:t>
      </w:r>
    </w:p>
    <w:p w14:paraId="7F9E26A9" w14:textId="77777777" w:rsidR="002601CF" w:rsidRPr="002601CF" w:rsidRDefault="002601CF" w:rsidP="002601CF">
      <w:pPr>
        <w:rPr>
          <w:b/>
          <w:bCs/>
        </w:rPr>
      </w:pPr>
      <w:r w:rsidRPr="002601CF">
        <w:rPr>
          <w:b/>
          <w:bCs/>
        </w:rPr>
        <w:t>4.4 User Security Awareness</w:t>
      </w:r>
    </w:p>
    <w:p w14:paraId="713E2F28" w14:textId="77777777" w:rsidR="002601CF" w:rsidRPr="002601CF" w:rsidRDefault="002601CF" w:rsidP="002601CF">
      <w:pPr>
        <w:numPr>
          <w:ilvl w:val="0"/>
          <w:numId w:val="35"/>
        </w:numPr>
      </w:pPr>
      <w:r w:rsidRPr="002601CF">
        <w:rPr>
          <w:b/>
          <w:bCs/>
        </w:rPr>
        <w:t>Phishing Simulation Results:</w:t>
      </w:r>
      <w:r w:rsidRPr="002601CF">
        <w:t xml:space="preserve"> The IT Security Team conducts quarterly phishing simulations and compiles the results in a report. Participation rates and test scores are analyzed to assess the effectiveness of training and adjust the awareness program accordingly.</w:t>
      </w:r>
    </w:p>
    <w:p w14:paraId="245AC14A" w14:textId="77777777" w:rsidR="002601CF" w:rsidRPr="002601CF" w:rsidRDefault="002601CF" w:rsidP="002601CF">
      <w:pPr>
        <w:pStyle w:val="Heading1"/>
      </w:pPr>
      <w:r w:rsidRPr="002601CF">
        <w:t>5. Documentation and Record Retention</w:t>
      </w:r>
    </w:p>
    <w:p w14:paraId="48B6003C" w14:textId="77777777" w:rsidR="002601CF" w:rsidRPr="002601CF" w:rsidRDefault="002601CF" w:rsidP="002601CF">
      <w:r w:rsidRPr="002601CF">
        <w:t>ABC-FinTech maintains the following documented information as evidence of monitoring and measurement activities:</w:t>
      </w:r>
    </w:p>
    <w:p w14:paraId="0933DB29" w14:textId="77777777" w:rsidR="002601CF" w:rsidRPr="002601CF" w:rsidRDefault="002601CF" w:rsidP="002601CF">
      <w:pPr>
        <w:numPr>
          <w:ilvl w:val="0"/>
          <w:numId w:val="36"/>
        </w:numPr>
      </w:pPr>
      <w:r w:rsidRPr="002601CF">
        <w:rPr>
          <w:b/>
          <w:bCs/>
        </w:rPr>
        <w:t>Incident Logs:</w:t>
      </w:r>
      <w:r w:rsidRPr="002601CF">
        <w:t xml:space="preserve"> SOC incident logs are retained for 3 years.</w:t>
      </w:r>
    </w:p>
    <w:p w14:paraId="256B73CF" w14:textId="77777777" w:rsidR="002601CF" w:rsidRPr="002601CF" w:rsidRDefault="002601CF" w:rsidP="002601CF">
      <w:pPr>
        <w:numPr>
          <w:ilvl w:val="0"/>
          <w:numId w:val="36"/>
        </w:numPr>
      </w:pPr>
      <w:r w:rsidRPr="002601CF">
        <w:rPr>
          <w:b/>
          <w:bCs/>
        </w:rPr>
        <w:t>Encryption Audit Reports:</w:t>
      </w:r>
      <w:r w:rsidRPr="002601CF">
        <w:t xml:space="preserve"> Quarterly audit reports are retained for 5 years.</w:t>
      </w:r>
    </w:p>
    <w:p w14:paraId="2646A3B8" w14:textId="77777777" w:rsidR="002601CF" w:rsidRPr="002601CF" w:rsidRDefault="002601CF" w:rsidP="002601CF">
      <w:pPr>
        <w:numPr>
          <w:ilvl w:val="0"/>
          <w:numId w:val="36"/>
        </w:numPr>
      </w:pPr>
      <w:r w:rsidRPr="002601CF">
        <w:rPr>
          <w:b/>
          <w:bCs/>
        </w:rPr>
        <w:t>Vulnerability Management Logs:</w:t>
      </w:r>
      <w:r w:rsidRPr="002601CF">
        <w:t xml:space="preserve"> Vulnerability scan results and penetration test reports are retained for 3 years.</w:t>
      </w:r>
    </w:p>
    <w:p w14:paraId="7F03834F" w14:textId="77777777" w:rsidR="002601CF" w:rsidRPr="002601CF" w:rsidRDefault="002601CF" w:rsidP="002601CF">
      <w:pPr>
        <w:numPr>
          <w:ilvl w:val="0"/>
          <w:numId w:val="36"/>
        </w:numPr>
      </w:pPr>
      <w:r w:rsidRPr="002601CF">
        <w:rPr>
          <w:b/>
          <w:bCs/>
        </w:rPr>
        <w:t>Vendor Risk Assessments:</w:t>
      </w:r>
      <w:r w:rsidRPr="002601CF">
        <w:t xml:space="preserve"> Vendor audit reports are retained for the duration of the vendor contract plus 2 years.</w:t>
      </w:r>
    </w:p>
    <w:p w14:paraId="44D17A1D" w14:textId="77777777" w:rsidR="002601CF" w:rsidRPr="002601CF" w:rsidRDefault="002601CF" w:rsidP="002601CF">
      <w:pPr>
        <w:numPr>
          <w:ilvl w:val="0"/>
          <w:numId w:val="36"/>
        </w:numPr>
      </w:pPr>
      <w:r w:rsidRPr="002601CF">
        <w:rPr>
          <w:b/>
          <w:bCs/>
        </w:rPr>
        <w:t>User Security Awareness Records:</w:t>
      </w:r>
      <w:r w:rsidRPr="002601CF">
        <w:t xml:space="preserve"> Training participation and phishing simulation results are retained for 5 years.</w:t>
      </w:r>
    </w:p>
    <w:p w14:paraId="359B8E2A" w14:textId="77777777" w:rsidR="002601CF" w:rsidRPr="002601CF" w:rsidRDefault="002601CF" w:rsidP="002601CF">
      <w:pPr>
        <w:pStyle w:val="Heading1"/>
      </w:pPr>
      <w:r w:rsidRPr="002601CF">
        <w:lastRenderedPageBreak/>
        <w:t>6. Conclusion</w:t>
      </w:r>
    </w:p>
    <w:p w14:paraId="32F4C813" w14:textId="13E5C03A" w:rsidR="002601CF" w:rsidRDefault="002601CF" w:rsidP="00607328">
      <w:r w:rsidRPr="002601CF">
        <w:t xml:space="preserve">ABC-FinTech’s </w:t>
      </w:r>
      <w:proofErr w:type="gramStart"/>
      <w:r w:rsidRPr="002601CF">
        <w:t>monitoring</w:t>
      </w:r>
      <w:proofErr w:type="gramEnd"/>
      <w:r w:rsidRPr="002601CF">
        <w:t xml:space="preserve"> and measurement of information security processes ensure that the ISMS remains effective and aligned with the organization’s information security objectives. By using the outlined methods, personnel, and schedules, the organization continually assesses its security posture and adjusts controls as necessary to mitigate risks.</w:t>
      </w:r>
    </w:p>
    <w:p w14:paraId="254FE248" w14:textId="3995629C" w:rsidR="00607328" w:rsidRPr="00607328" w:rsidRDefault="00000000" w:rsidP="00607328">
      <w:r>
        <w:pict w14:anchorId="7CAE0B3F">
          <v:rect id="_x0000_i1025"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07AFAE42" w:rsidR="00607328" w:rsidRPr="00607328" w:rsidRDefault="00607328" w:rsidP="00607328">
      <w:r w:rsidRPr="00607328">
        <w:rPr>
          <w:b/>
          <w:bCs/>
        </w:rPr>
        <w:t>CEO, ABC-FinTech</w:t>
      </w:r>
      <w:r w:rsidRPr="00607328">
        <w:br/>
      </w:r>
      <w:r w:rsidRPr="00607328">
        <w:rPr>
          <w:b/>
          <w:bCs/>
        </w:rPr>
        <w:t xml:space="preserve">Date: </w:t>
      </w:r>
      <w:r w:rsidR="00E317DC">
        <w:rPr>
          <w:b/>
          <w:bCs/>
        </w:rPr>
        <w:t>22</w:t>
      </w:r>
      <w:r w:rsidR="00182BF4">
        <w:rPr>
          <w:b/>
          <w:bCs/>
        </w:rPr>
        <w:t xml:space="preserve">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F6E8E"/>
    <w:multiLevelType w:val="multilevel"/>
    <w:tmpl w:val="045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E0FDA"/>
    <w:multiLevelType w:val="multilevel"/>
    <w:tmpl w:val="963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4108B"/>
    <w:multiLevelType w:val="multilevel"/>
    <w:tmpl w:val="8F2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E6F1C"/>
    <w:multiLevelType w:val="multilevel"/>
    <w:tmpl w:val="954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F27C8"/>
    <w:multiLevelType w:val="multilevel"/>
    <w:tmpl w:val="B4D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34"/>
  </w:num>
  <w:num w:numId="2" w16cid:durableId="1352802261">
    <w:abstractNumId w:val="5"/>
  </w:num>
  <w:num w:numId="3" w16cid:durableId="421219975">
    <w:abstractNumId w:val="26"/>
  </w:num>
  <w:num w:numId="4" w16cid:durableId="368799877">
    <w:abstractNumId w:val="25"/>
  </w:num>
  <w:num w:numId="5" w16cid:durableId="1474640107">
    <w:abstractNumId w:val="30"/>
  </w:num>
  <w:num w:numId="6" w16cid:durableId="939339642">
    <w:abstractNumId w:val="20"/>
  </w:num>
  <w:num w:numId="7" w16cid:durableId="725490642">
    <w:abstractNumId w:val="7"/>
  </w:num>
  <w:num w:numId="8" w16cid:durableId="81071327">
    <w:abstractNumId w:val="32"/>
  </w:num>
  <w:num w:numId="9" w16cid:durableId="1946957212">
    <w:abstractNumId w:val="1"/>
  </w:num>
  <w:num w:numId="10" w16cid:durableId="924847447">
    <w:abstractNumId w:val="23"/>
  </w:num>
  <w:num w:numId="11" w16cid:durableId="536702595">
    <w:abstractNumId w:val="35"/>
  </w:num>
  <w:num w:numId="12" w16cid:durableId="1775243843">
    <w:abstractNumId w:val="33"/>
  </w:num>
  <w:num w:numId="13" w16cid:durableId="1200974441">
    <w:abstractNumId w:val="21"/>
  </w:num>
  <w:num w:numId="14" w16cid:durableId="163667865">
    <w:abstractNumId w:val="2"/>
  </w:num>
  <w:num w:numId="15" w16cid:durableId="993920821">
    <w:abstractNumId w:val="22"/>
  </w:num>
  <w:num w:numId="16" w16cid:durableId="5330448">
    <w:abstractNumId w:val="15"/>
  </w:num>
  <w:num w:numId="17" w16cid:durableId="959535609">
    <w:abstractNumId w:val="29"/>
  </w:num>
  <w:num w:numId="18" w16cid:durableId="1130591858">
    <w:abstractNumId w:val="28"/>
  </w:num>
  <w:num w:numId="19" w16cid:durableId="1794129862">
    <w:abstractNumId w:val="19"/>
  </w:num>
  <w:num w:numId="20" w16cid:durableId="1918441133">
    <w:abstractNumId w:val="18"/>
  </w:num>
  <w:num w:numId="21" w16cid:durableId="1349017239">
    <w:abstractNumId w:val="8"/>
  </w:num>
  <w:num w:numId="22" w16cid:durableId="557321330">
    <w:abstractNumId w:val="0"/>
  </w:num>
  <w:num w:numId="23" w16cid:durableId="1987858429">
    <w:abstractNumId w:val="4"/>
  </w:num>
  <w:num w:numId="24" w16cid:durableId="661659527">
    <w:abstractNumId w:val="6"/>
  </w:num>
  <w:num w:numId="25" w16cid:durableId="1423146141">
    <w:abstractNumId w:val="13"/>
  </w:num>
  <w:num w:numId="26" w16cid:durableId="2085950435">
    <w:abstractNumId w:val="3"/>
  </w:num>
  <w:num w:numId="27" w16cid:durableId="2104060952">
    <w:abstractNumId w:val="9"/>
  </w:num>
  <w:num w:numId="28" w16cid:durableId="895894442">
    <w:abstractNumId w:val="16"/>
  </w:num>
  <w:num w:numId="29" w16cid:durableId="75712279">
    <w:abstractNumId w:val="11"/>
  </w:num>
  <w:num w:numId="30" w16cid:durableId="999121570">
    <w:abstractNumId w:val="31"/>
  </w:num>
  <w:num w:numId="31" w16cid:durableId="1582446053">
    <w:abstractNumId w:val="17"/>
  </w:num>
  <w:num w:numId="32" w16cid:durableId="651374151">
    <w:abstractNumId w:val="24"/>
  </w:num>
  <w:num w:numId="33" w16cid:durableId="116880349">
    <w:abstractNumId w:val="10"/>
  </w:num>
  <w:num w:numId="34" w16cid:durableId="1363894946">
    <w:abstractNumId w:val="12"/>
  </w:num>
  <w:num w:numId="35" w16cid:durableId="77793218">
    <w:abstractNumId w:val="14"/>
  </w:num>
  <w:num w:numId="36" w16cid:durableId="5854590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146C9"/>
    <w:rsid w:val="000551F5"/>
    <w:rsid w:val="00097663"/>
    <w:rsid w:val="00126A34"/>
    <w:rsid w:val="00182BF4"/>
    <w:rsid w:val="002050E1"/>
    <w:rsid w:val="002601CF"/>
    <w:rsid w:val="00293ABF"/>
    <w:rsid w:val="00336B4F"/>
    <w:rsid w:val="004E7555"/>
    <w:rsid w:val="00541CF9"/>
    <w:rsid w:val="00581C69"/>
    <w:rsid w:val="00607328"/>
    <w:rsid w:val="00613BB2"/>
    <w:rsid w:val="00914588"/>
    <w:rsid w:val="009A0687"/>
    <w:rsid w:val="00DD7C1F"/>
    <w:rsid w:val="00E23EC2"/>
    <w:rsid w:val="00E3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386151163">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079524679">
      <w:bodyDiv w:val="1"/>
      <w:marLeft w:val="0"/>
      <w:marRight w:val="0"/>
      <w:marTop w:val="0"/>
      <w:marBottom w:val="0"/>
      <w:divBdr>
        <w:top w:val="none" w:sz="0" w:space="0" w:color="auto"/>
        <w:left w:val="none" w:sz="0" w:space="0" w:color="auto"/>
        <w:bottom w:val="none" w:sz="0" w:space="0" w:color="auto"/>
        <w:right w:val="none" w:sz="0" w:space="0" w:color="auto"/>
      </w:divBdr>
      <w:divsChild>
        <w:div w:id="405613732">
          <w:marLeft w:val="0"/>
          <w:marRight w:val="0"/>
          <w:marTop w:val="0"/>
          <w:marBottom w:val="0"/>
          <w:divBdr>
            <w:top w:val="none" w:sz="0" w:space="0" w:color="auto"/>
            <w:left w:val="none" w:sz="0" w:space="0" w:color="auto"/>
            <w:bottom w:val="none" w:sz="0" w:space="0" w:color="auto"/>
            <w:right w:val="none" w:sz="0" w:space="0" w:color="auto"/>
          </w:divBdr>
          <w:divsChild>
            <w:div w:id="1707676527">
              <w:marLeft w:val="0"/>
              <w:marRight w:val="0"/>
              <w:marTop w:val="0"/>
              <w:marBottom w:val="0"/>
              <w:divBdr>
                <w:top w:val="none" w:sz="0" w:space="0" w:color="auto"/>
                <w:left w:val="none" w:sz="0" w:space="0" w:color="auto"/>
                <w:bottom w:val="none" w:sz="0" w:space="0" w:color="auto"/>
                <w:right w:val="none" w:sz="0" w:space="0" w:color="auto"/>
              </w:divBdr>
            </w:div>
            <w:div w:id="1358118615">
              <w:marLeft w:val="0"/>
              <w:marRight w:val="0"/>
              <w:marTop w:val="0"/>
              <w:marBottom w:val="0"/>
              <w:divBdr>
                <w:top w:val="none" w:sz="0" w:space="0" w:color="auto"/>
                <w:left w:val="none" w:sz="0" w:space="0" w:color="auto"/>
                <w:bottom w:val="none" w:sz="0" w:space="0" w:color="auto"/>
                <w:right w:val="none" w:sz="0" w:space="0" w:color="auto"/>
              </w:divBdr>
              <w:divsChild>
                <w:div w:id="1135370312">
                  <w:marLeft w:val="0"/>
                  <w:marRight w:val="0"/>
                  <w:marTop w:val="0"/>
                  <w:marBottom w:val="0"/>
                  <w:divBdr>
                    <w:top w:val="none" w:sz="0" w:space="0" w:color="auto"/>
                    <w:left w:val="none" w:sz="0" w:space="0" w:color="auto"/>
                    <w:bottom w:val="none" w:sz="0" w:space="0" w:color="auto"/>
                    <w:right w:val="none" w:sz="0" w:space="0" w:color="auto"/>
                  </w:divBdr>
                  <w:divsChild>
                    <w:div w:id="7012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433628709">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1990164070">
      <w:bodyDiv w:val="1"/>
      <w:marLeft w:val="0"/>
      <w:marRight w:val="0"/>
      <w:marTop w:val="0"/>
      <w:marBottom w:val="0"/>
      <w:divBdr>
        <w:top w:val="none" w:sz="0" w:space="0" w:color="auto"/>
        <w:left w:val="none" w:sz="0" w:space="0" w:color="auto"/>
        <w:bottom w:val="none" w:sz="0" w:space="0" w:color="auto"/>
        <w:right w:val="none" w:sz="0" w:space="0" w:color="auto"/>
      </w:divBdr>
      <w:divsChild>
        <w:div w:id="1618756435">
          <w:marLeft w:val="0"/>
          <w:marRight w:val="0"/>
          <w:marTop w:val="0"/>
          <w:marBottom w:val="0"/>
          <w:divBdr>
            <w:top w:val="none" w:sz="0" w:space="0" w:color="auto"/>
            <w:left w:val="none" w:sz="0" w:space="0" w:color="auto"/>
            <w:bottom w:val="none" w:sz="0" w:space="0" w:color="auto"/>
            <w:right w:val="none" w:sz="0" w:space="0" w:color="auto"/>
          </w:divBdr>
          <w:divsChild>
            <w:div w:id="1643386946">
              <w:marLeft w:val="0"/>
              <w:marRight w:val="0"/>
              <w:marTop w:val="0"/>
              <w:marBottom w:val="0"/>
              <w:divBdr>
                <w:top w:val="none" w:sz="0" w:space="0" w:color="auto"/>
                <w:left w:val="none" w:sz="0" w:space="0" w:color="auto"/>
                <w:bottom w:val="none" w:sz="0" w:space="0" w:color="auto"/>
                <w:right w:val="none" w:sz="0" w:space="0" w:color="auto"/>
              </w:divBdr>
            </w:div>
            <w:div w:id="513805212">
              <w:marLeft w:val="0"/>
              <w:marRight w:val="0"/>
              <w:marTop w:val="0"/>
              <w:marBottom w:val="0"/>
              <w:divBdr>
                <w:top w:val="none" w:sz="0" w:space="0" w:color="auto"/>
                <w:left w:val="none" w:sz="0" w:space="0" w:color="auto"/>
                <w:bottom w:val="none" w:sz="0" w:space="0" w:color="auto"/>
                <w:right w:val="none" w:sz="0" w:space="0" w:color="auto"/>
              </w:divBdr>
              <w:divsChild>
                <w:div w:id="390276663">
                  <w:marLeft w:val="0"/>
                  <w:marRight w:val="0"/>
                  <w:marTop w:val="0"/>
                  <w:marBottom w:val="0"/>
                  <w:divBdr>
                    <w:top w:val="none" w:sz="0" w:space="0" w:color="auto"/>
                    <w:left w:val="none" w:sz="0" w:space="0" w:color="auto"/>
                    <w:bottom w:val="none" w:sz="0" w:space="0" w:color="auto"/>
                    <w:right w:val="none" w:sz="0" w:space="0" w:color="auto"/>
                  </w:divBdr>
                  <w:divsChild>
                    <w:div w:id="6016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15</cp:revision>
  <dcterms:created xsi:type="dcterms:W3CDTF">2024-10-10T22:05:00Z</dcterms:created>
  <dcterms:modified xsi:type="dcterms:W3CDTF">2024-10-11T05:07:00Z</dcterms:modified>
</cp:coreProperties>
</file>