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b/>
          <w:i w:val="0"/>
          <w:sz w:val="40"/>
        </w:rPr>
        <w:t>Attorney.AI - Technical Dossier</w:t>
      </w:r>
    </w:p>
    <w:p>
      <w:pPr>
        <w:spacing w:after="40" w:before="0" w:line="240" w:lineRule="auto"/>
        <w:jc w:val="center"/>
      </w:pPr>
      <w:r>
        <w:rPr>
          <w:rFonts w:ascii="Times New Roman" w:hAnsi="Times New Roman"/>
          <w:b w:val="0"/>
          <w:i/>
          <w:sz w:val="22"/>
        </w:rPr>
        <w:t>Supporting material for the FIT/IEEE submission</w:t>
      </w:r>
    </w:p>
    <w:p>
      <w:pPr>
        <w:spacing w:after="40" w:before="0" w:line="240" w:lineRule="auto"/>
        <w:jc w:val="center"/>
      </w:pPr>
      <w:r>
        <w:rPr>
          <w:rFonts w:ascii="Times New Roman" w:hAnsi="Times New Roman"/>
          <w:b w:val="0"/>
          <w:i w:val="0"/>
          <w:sz w:val="20"/>
        </w:rPr>
        <w:t>Muhammad Usama - COMSATS University Islamabad (SP23-BCS-069)</w:t>
      </w:r>
    </w:p>
    <w:p>
      <w:pPr>
        <w:spacing w:after="280" w:before="0" w:line="240" w:lineRule="auto"/>
        <w:jc w:val="center"/>
      </w:pPr>
      <w:r>
        <w:rPr>
          <w:rFonts w:ascii="Times New Roman" w:hAnsi="Times New Roman"/>
          <w:b w:val="0"/>
          <w:i/>
          <w:sz w:val="18"/>
        </w:rPr>
        <w:t>Generated 5 August 2026</w:t>
      </w:r>
    </w:p>
    <w:p>
      <w:pPr>
        <w:spacing w:after="80" w:before="240" w:line="240" w:lineRule="auto"/>
        <w:jc w:val="left"/>
      </w:pPr>
      <w:r>
        <w:rPr>
          <w:rFonts w:ascii="Times New Roman" w:hAnsi="Times New Roman"/>
          <w:b/>
          <w:i w:val="0"/>
          <w:sz w:val="28"/>
        </w:rPr>
        <w:t>1.  Purpose of this document</w:t>
      </w:r>
    </w:p>
    <w:p>
      <w:pPr>
        <w:spacing w:after="100" w:before="0" w:line="240" w:lineRule="auto"/>
        <w:jc w:val="both"/>
      </w:pPr>
      <w:r>
        <w:rPr>
          <w:rFonts w:ascii="Times New Roman" w:hAnsi="Times New Roman"/>
          <w:b w:val="0"/>
          <w:i w:val="0"/>
          <w:sz w:val="22"/>
        </w:rPr>
        <w:t>The FIT paper is capped at six pages including references, which is far less than the system warrants. This dossier holds the material that cannot fit: exact parameters, the engineering findings behind the design decisions, the current data position, and the open risks. It doubles as FYP documentation and as the reference to draw on when a reviewer asks for detail the paper had no room for.</w:t>
      </w:r>
    </w:p>
    <w:p>
      <w:pPr>
        <w:spacing w:after="80" w:before="240" w:line="240" w:lineRule="auto"/>
        <w:jc w:val="left"/>
      </w:pPr>
      <w:r>
        <w:rPr>
          <w:rFonts w:ascii="Times New Roman" w:hAnsi="Times New Roman"/>
          <w:b/>
          <w:i w:val="0"/>
          <w:sz w:val="28"/>
        </w:rPr>
        <w:t>2.  Venue requirements (verified)</w:t>
      </w:r>
    </w:p>
    <w:p>
      <w:pPr>
        <w:spacing w:after="100" w:before="0" w:line="240" w:lineRule="auto"/>
        <w:jc w:val="both"/>
      </w:pPr>
      <w:r>
        <w:rPr>
          <w:rFonts w:ascii="Times New Roman" w:hAnsi="Times New Roman"/>
          <w:b w:val="0"/>
          <w:i w:val="0"/>
          <w:sz w:val="22"/>
        </w:rPr>
        <w:t>Source: https://fit.edu.pk/submission-guidelines.aspx</w:t>
      </w:r>
    </w:p>
    <w:p>
      <w:pPr>
        <w:pStyle w:val="ListBullet"/>
        <w:spacing w:after="40"/>
      </w:pPr>
      <w:r>
        <w:rPr>
          <w:rFonts w:ascii="Times New Roman" w:hAnsi="Times New Roman"/>
          <w:sz w:val="22"/>
        </w:rPr>
        <w:t>Page limit: 6 pages maximum, references included.</w:t>
      </w:r>
    </w:p>
    <w:p>
      <w:pPr>
        <w:pStyle w:val="ListBullet"/>
        <w:spacing w:after="40"/>
      </w:pPr>
      <w:r>
        <w:rPr>
          <w:rFonts w:ascii="Times New Roman" w:hAnsi="Times New Roman"/>
          <w:sz w:val="22"/>
        </w:rPr>
        <w:t>Format: two-column IEEE conference format.</w:t>
      </w:r>
    </w:p>
    <w:p>
      <w:pPr>
        <w:pStyle w:val="ListBullet"/>
        <w:spacing w:after="40"/>
      </w:pPr>
      <w:r>
        <w:rPr>
          <w:rFonts w:ascii="Times New Roman" w:hAnsi="Times New Roman"/>
          <w:sz w:val="22"/>
        </w:rPr>
        <w:t>File type: PDF only.</w:t>
      </w:r>
    </w:p>
    <w:p>
      <w:pPr>
        <w:pStyle w:val="ListBullet"/>
        <w:spacing w:after="40"/>
      </w:pPr>
      <w:r>
        <w:rPr>
          <w:rFonts w:ascii="Times New Roman" w:hAnsi="Times New Roman"/>
          <w:sz w:val="22"/>
        </w:rPr>
        <w:t>Submission: EasyChair (conf=fit26).</w:t>
      </w:r>
    </w:p>
    <w:p>
      <w:pPr>
        <w:pStyle w:val="ListBullet"/>
        <w:spacing w:after="40"/>
      </w:pPr>
      <w:r>
        <w:rPr>
          <w:rFonts w:ascii="Times New Roman" w:hAnsi="Times New Roman"/>
          <w:sz w:val="22"/>
        </w:rPr>
        <w:t>Exclusivity: must not be under consideration at another venue.</w:t>
      </w:r>
    </w:p>
    <w:p>
      <w:pPr>
        <w:spacing w:after="80" w:line="240" w:lineRule="auto"/>
        <w:jc w:val="both"/>
      </w:pPr>
      <w:r>
        <w:rPr>
          <w:rFonts w:ascii="Times New Roman" w:hAnsi="Times New Roman"/>
          <w:b/>
          <w:i w:val="0"/>
          <w:color w:val="C00000"/>
          <w:sz w:val="22"/>
        </w:rPr>
        <w:t xml:space="preserve">WARNING: </w:t>
      </w:r>
      <w:r>
        <w:rPr>
          <w:rFonts w:ascii="Times New Roman" w:hAnsi="Times New Roman"/>
          <w:b w:val="0"/>
          <w:i w:val="0"/>
          <w:color w:val="C00000"/>
          <w:sz w:val="22"/>
        </w:rPr>
        <w:t>the FIT 2026 submission deadline was reported as 31 July 2026, with the conference on 14-15 December 2026. If accurate, it has already passed. Confirm directly with fit@comsats.edu.pk before planning around it, and treat FIT 2027 or an alternative venue as the working assumption.</w:t>
      </w:r>
    </w:p>
    <w:p>
      <w:pPr>
        <w:spacing w:after="80" w:before="240" w:line="240" w:lineRule="auto"/>
        <w:jc w:val="left"/>
      </w:pPr>
      <w:r>
        <w:rPr>
          <w:rFonts w:ascii="Times New Roman" w:hAnsi="Times New Roman"/>
          <w:b/>
          <w:i w:val="0"/>
          <w:sz w:val="28"/>
        </w:rPr>
        <w:t>3.  System parameters</w:t>
      </w:r>
    </w:p>
    <w:p>
      <w:pPr>
        <w:spacing w:after="60" w:before="160" w:line="240" w:lineRule="auto"/>
        <w:jc w:val="left"/>
      </w:pPr>
      <w:r>
        <w:rPr>
          <w:rFonts w:ascii="Times New Roman" w:hAnsi="Times New Roman"/>
          <w:b/>
          <w:i w:val="0"/>
          <w:sz w:val="24"/>
        </w:rPr>
        <w:t>3.1  Retrieval</w:t>
      </w:r>
    </w:p>
    <w:p>
      <w:pPr>
        <w:pStyle w:val="ListBullet"/>
        <w:spacing w:after="40"/>
      </w:pPr>
      <w:r>
        <w:rPr>
          <w:rFonts w:ascii="Times New Roman" w:hAnsi="Times New Roman"/>
          <w:sz w:val="22"/>
        </w:rPr>
        <w:t>Hybrid ensemble: BM25 weight 0.60, dense weight 0.40.</w:t>
      </w:r>
    </w:p>
    <w:p>
      <w:pPr>
        <w:pStyle w:val="ListBullet"/>
        <w:spacing w:after="40"/>
      </w:pPr>
      <w:r>
        <w:rPr>
          <w:rFonts w:ascii="Times New Roman" w:hAnsi="Times New Roman"/>
          <w:sz w:val="22"/>
        </w:rPr>
        <w:t>Dense model: intfloat/multilingual-e5-base, with query:/passage: prefixes.</w:t>
      </w:r>
    </w:p>
    <w:p>
      <w:pPr>
        <w:pStyle w:val="ListBullet"/>
        <w:spacing w:after="40"/>
      </w:pPr>
      <w:r>
        <w:rPr>
          <w:rFonts w:ascii="Times New Roman" w:hAnsi="Times New Roman"/>
          <w:sz w:val="22"/>
        </w:rPr>
        <w:t>Vector store: Chroma, cosine space. Dense k = 10.</w:t>
      </w:r>
    </w:p>
    <w:p>
      <w:pPr>
        <w:pStyle w:val="ListBullet"/>
        <w:spacing w:after="40"/>
      </w:pPr>
      <w:r>
        <w:rPr>
          <w:rFonts w:ascii="Times New Roman" w:hAnsi="Times New Roman"/>
          <w:sz w:val="22"/>
        </w:rPr>
        <w:t>Province filter: matches the query province OR federal.</w:t>
      </w:r>
    </w:p>
    <w:p>
      <w:pPr>
        <w:pStyle w:val="ListBullet"/>
        <w:spacing w:after="40"/>
      </w:pPr>
      <w:r>
        <w:rPr>
          <w:rFonts w:ascii="Times New Roman" w:hAnsi="Times New Roman"/>
          <w:sz w:val="22"/>
        </w:rPr>
        <w:t>Two-hop: hop-2 issues statute cross-references found in hop-1; lists merged by reciprocal rank fusion.</w:t>
      </w:r>
    </w:p>
    <w:p>
      <w:pPr>
        <w:pStyle w:val="ListBullet"/>
        <w:spacing w:after="40"/>
      </w:pPr>
      <w:r>
        <w:rPr>
          <w:rFonts w:ascii="Times New Roman" w:hAnsi="Times New Roman"/>
          <w:sz w:val="22"/>
        </w:rPr>
        <w:t>Statute cross-reference graph: typed weighted edges - cite 1.15, ref 1.10, amend 1.05, defined_by 1.20.</w:t>
      </w:r>
    </w:p>
    <w:p>
      <w:pPr>
        <w:pStyle w:val="ListBullet"/>
        <w:spacing w:after="40"/>
      </w:pPr>
      <w:r>
        <w:rPr>
          <w:rFonts w:ascii="Times New Roman" w:hAnsi="Times New Roman"/>
          <w:sz w:val="22"/>
        </w:rPr>
        <w:t>Case law: semantic only, similarity threshold 0.78, at most 3 admitted.</w:t>
      </w:r>
    </w:p>
    <w:p>
      <w:pPr>
        <w:spacing w:after="60" w:before="160" w:line="240" w:lineRule="auto"/>
        <w:jc w:val="left"/>
      </w:pPr>
      <w:r>
        <w:rPr>
          <w:rFonts w:ascii="Times New Roman" w:hAnsi="Times New Roman"/>
          <w:b/>
          <w:i w:val="0"/>
          <w:sz w:val="24"/>
        </w:rPr>
        <w:t>3.2  Scoring and thresholds</w:t>
      </w:r>
    </w:p>
    <w:p>
      <w:pPr>
        <w:pStyle w:val="ListBullet"/>
        <w:spacing w:after="40"/>
      </w:pPr>
      <w:r>
        <w:rPr>
          <w:rFonts w:ascii="Times New Roman" w:hAnsi="Times New Roman"/>
          <w:sz w:val="22"/>
        </w:rPr>
        <w:t>Signal weights: lexical 0.40, embedding 0.35, LLM grade 0.25.</w:t>
      </w:r>
    </w:p>
    <w:p>
      <w:pPr>
        <w:pStyle w:val="ListBullet"/>
        <w:spacing w:after="40"/>
      </w:pPr>
      <w:r>
        <w:rPr>
          <w:rFonts w:ascii="Times New Roman" w:hAnsi="Times New Roman"/>
          <w:sz w:val="22"/>
        </w:rPr>
        <w:t>Variance penalty applied when inter-signal variance exceeds 0.25.</w:t>
      </w:r>
    </w:p>
    <w:p>
      <w:pPr>
        <w:pStyle w:val="ListBullet"/>
        <w:spacing w:after="40"/>
      </w:pPr>
      <w:r>
        <w:rPr>
          <w:rFonts w:ascii="Times New Roman" w:hAnsi="Times New Roman"/>
          <w:sz w:val="22"/>
        </w:rPr>
        <w:t>Seed thresholds: generation floor 0.20 (p10), routing gap 0.15 (p25), cosine 0.70 (p90), refusal ceiling 0.10, disagreement max 0.25.</w:t>
      </w:r>
    </w:p>
    <w:p>
      <w:pPr>
        <w:pStyle w:val="ListBullet"/>
        <w:spacing w:after="40"/>
      </w:pPr>
      <w:r>
        <w:rPr>
          <w:rFonts w:ascii="Times New Roman" w:hAnsi="Times New Roman"/>
          <w:sz w:val="22"/>
        </w:rPr>
        <w:t>Warm-up: 1000 queries (unlabelled). Rolling window 2000 samples, recomputed every 100 queries thereafter.</w:t>
      </w:r>
    </w:p>
    <w:p>
      <w:pPr>
        <w:pStyle w:val="ListBullet"/>
        <w:spacing w:after="40"/>
      </w:pPr>
      <w:r>
        <w:rPr>
          <w:rFonts w:ascii="Times New Roman" w:hAnsi="Times New Roman"/>
          <w:sz w:val="22"/>
        </w:rPr>
        <w:t>Relevance retry threshold 0.40; max 3 retrieval attempts, 2 generation attempts; convergence minimum delta 0.05.</w:t>
      </w:r>
    </w:p>
    <w:p>
      <w:pPr>
        <w:spacing w:after="60" w:before="160" w:line="240" w:lineRule="auto"/>
        <w:jc w:val="left"/>
      </w:pPr>
      <w:r>
        <w:rPr>
          <w:rFonts w:ascii="Times New Roman" w:hAnsi="Times New Roman"/>
          <w:b/>
          <w:i w:val="0"/>
          <w:sz w:val="24"/>
        </w:rPr>
        <w:t>3.3  Arbitration</w:t>
      </w:r>
    </w:p>
    <w:p>
      <w:pPr>
        <w:pStyle w:val="ListBullet"/>
        <w:spacing w:after="40"/>
      </w:pPr>
      <w:r>
        <w:rPr>
          <w:rFonts w:ascii="Times New Roman" w:hAnsi="Times New Roman"/>
          <w:sz w:val="22"/>
        </w:rPr>
        <w:t>Action costs: answer 0.10, defer 0.30, refuse 0.60.</w:t>
      </w:r>
    </w:p>
    <w:p>
      <w:pPr>
        <w:pStyle w:val="ListBullet"/>
        <w:spacing w:after="40"/>
      </w:pPr>
      <w:r>
        <w:rPr>
          <w:rFonts w:ascii="Times New Roman" w:hAnsi="Times New Roman"/>
          <w:sz w:val="22"/>
        </w:rPr>
        <w:t>Utility = calibrated confidence / action cost.</w:t>
      </w:r>
    </w:p>
    <w:p>
      <w:pPr>
        <w:pStyle w:val="ListBullet"/>
        <w:spacing w:after="40"/>
      </w:pPr>
      <w:r>
        <w:rPr>
          <w:rFonts w:ascii="Times New Roman" w:hAnsi="Times New Roman"/>
          <w:sz w:val="22"/>
        </w:rPr>
        <w:t>Lexical-only (BM25) evidence capped at 0.55 confidence.</w:t>
      </w:r>
    </w:p>
    <w:p>
      <w:pPr>
        <w:pStyle w:val="ListBullet"/>
        <w:spacing w:after="40"/>
      </w:pPr>
      <w:r>
        <w:rPr>
          <w:rFonts w:ascii="Times New Roman" w:hAnsi="Times New Roman"/>
          <w:sz w:val="22"/>
        </w:rPr>
        <w:t>Maximum clarification depth 2, after which the node is binary (answer or refuse only).</w:t>
      </w:r>
    </w:p>
    <w:p>
      <w:pPr>
        <w:pStyle w:val="ListBullet"/>
        <w:spacing w:after="40"/>
      </w:pPr>
      <w:r>
        <w:rPr>
          <w:rFonts w:ascii="Times New Roman" w:hAnsi="Times New Roman"/>
          <w:sz w:val="22"/>
        </w:rPr>
        <w:t>Zero retrieved chunks refuses unconditionally.</w:t>
      </w:r>
    </w:p>
    <w:p>
      <w:pPr>
        <w:pStyle w:val="ListBullet"/>
        <w:spacing w:after="40"/>
      </w:pPr>
      <w:r>
        <w:rPr>
          <w:rFonts w:ascii="Times New Roman" w:hAnsi="Times New Roman"/>
          <w:sz w:val="22"/>
        </w:rPr>
        <w:t>An engine result overrides refusal - a computed figure is never discarded because surrounding context scored poorly.</w:t>
      </w:r>
    </w:p>
    <w:p>
      <w:pPr>
        <w:spacing w:after="60" w:before="160" w:line="240" w:lineRule="auto"/>
        <w:jc w:val="left"/>
      </w:pPr>
      <w:r>
        <w:rPr>
          <w:rFonts w:ascii="Times New Roman" w:hAnsi="Times New Roman"/>
          <w:b/>
          <w:i w:val="0"/>
          <w:sz w:val="24"/>
        </w:rPr>
        <w:t>3.4  Corpus</w:t>
      </w:r>
    </w:p>
    <w:p>
      <w:pPr>
        <w:pStyle w:val="ListBullet"/>
        <w:spacing w:after="40"/>
      </w:pPr>
      <w:r>
        <w:rPr>
          <w:rFonts w:ascii="Times New Roman" w:hAnsi="Times New Roman"/>
          <w:sz w:val="22"/>
        </w:rPr>
        <w:t>Statutes: 967 Pakistani legal documents, section-segmented.</w:t>
      </w:r>
    </w:p>
    <w:p>
      <w:pPr>
        <w:pStyle w:val="ListBullet"/>
        <w:spacing w:after="40"/>
      </w:pPr>
      <w:r>
        <w:rPr>
          <w:rFonts w:ascii="Times New Roman" w:hAnsi="Times New Roman"/>
          <w:sz w:val="22"/>
        </w:rPr>
        <w:t>Indexed chunks: criminal 1,735; constitutional 924; civil 396; family 226.</w:t>
      </w:r>
    </w:p>
    <w:p>
      <w:pPr>
        <w:pStyle w:val="ListBullet"/>
        <w:spacing w:after="40"/>
      </w:pPr>
      <w:r>
        <w:rPr>
          <w:rFonts w:ascii="Times New Roman" w:hAnsi="Times New Roman"/>
          <w:sz w:val="22"/>
        </w:rPr>
        <w:t>Case law: 3,230 chunks from reported Lahore High Court judgments.</w:t>
      </w:r>
    </w:p>
    <w:p>
      <w:pPr>
        <w:pStyle w:val="ListBullet"/>
        <w:spacing w:after="40"/>
      </w:pPr>
      <w:r>
        <w:rPr>
          <w:rFonts w:ascii="Times New Roman" w:hAnsi="Times New Roman"/>
          <w:sz w:val="22"/>
        </w:rPr>
        <w:t>Bilingual constitutional QA set ingested as both article text and question-answer pairs.</w:t>
      </w:r>
    </w:p>
    <w:p>
      <w:pPr>
        <w:spacing w:after="80" w:before="240" w:line="240" w:lineRule="auto"/>
        <w:jc w:val="left"/>
      </w:pPr>
      <w:r>
        <w:rPr>
          <w:rFonts w:ascii="Times New Roman" w:hAnsi="Times New Roman"/>
          <w:b/>
          <w:i w:val="0"/>
          <w:sz w:val="28"/>
        </w:rPr>
        <w:t>4.  Engineering findings worth citing in the paper</w:t>
      </w:r>
    </w:p>
    <w:p>
      <w:pPr>
        <w:spacing w:after="100" w:before="0" w:line="240" w:lineRule="auto"/>
        <w:jc w:val="both"/>
      </w:pPr>
      <w:r>
        <w:rPr>
          <w:rFonts w:ascii="Times New Roman" w:hAnsi="Times New Roman"/>
          <w:b w:val="0"/>
          <w:i w:val="0"/>
          <w:sz w:val="22"/>
        </w:rPr>
        <w:t>Each of these was discovered by running the system rather than by reading the code, which is itself a point worth making in the paper.</w:t>
      </w:r>
    </w:p>
    <w:p>
      <w:pPr>
        <w:spacing w:after="60" w:before="160" w:line="240" w:lineRule="auto"/>
        <w:jc w:val="left"/>
      </w:pPr>
      <w:r>
        <w:rPr>
          <w:rFonts w:ascii="Times New Roman" w:hAnsi="Times New Roman"/>
          <w:b/>
          <w:i w:val="0"/>
          <w:sz w:val="24"/>
        </w:rPr>
        <w:t>4.1  Dead abstention path</w:t>
      </w:r>
    </w:p>
    <w:p>
      <w:pPr>
        <w:spacing w:after="100" w:before="0" w:line="240" w:lineRule="auto"/>
        <w:jc w:val="both"/>
      </w:pPr>
      <w:r>
        <w:rPr>
          <w:rFonts w:ascii="Times New Roman" w:hAnsi="Times New Roman"/>
          <w:b w:val="0"/>
          <w:i w:val="0"/>
          <w:sz w:val="22"/>
        </w:rPr>
        <w:t>The decision engine and the three-signal scorer were both present, documented, and imported by nothing. The arbitration verdict was hardcoded to 'answer' at both entry points, so the refuse and defer branches were unreachable and the weighted confidence score was never computed. Any claim about abstention behaviour prior to wiring these would have described code that could not execute.</w:t>
      </w:r>
    </w:p>
    <w:p>
      <w:pPr>
        <w:spacing w:after="60" w:before="160" w:line="240" w:lineRule="auto"/>
        <w:jc w:val="left"/>
      </w:pPr>
      <w:r>
        <w:rPr>
          <w:rFonts w:ascii="Times New Roman" w:hAnsi="Times New Roman"/>
          <w:b/>
          <w:i w:val="0"/>
          <w:sz w:val="24"/>
        </w:rPr>
        <w:t>4.2  Defence bypassed by an alternative path</w:t>
      </w:r>
    </w:p>
    <w:p>
      <w:pPr>
        <w:spacing w:after="100" w:before="0" w:line="240" w:lineRule="auto"/>
        <w:jc w:val="both"/>
      </w:pPr>
      <w:r>
        <w:rPr>
          <w:rFonts w:ascii="Times New Roman" w:hAnsi="Times New Roman"/>
          <w:b w:val="0"/>
          <w:i w:val="0"/>
          <w:sz w:val="22"/>
        </w:rPr>
        <w:t>An intent-classification shortcut answered affirmation, stop, and reformat turns without entering the graph, so the injection gatekeeper never saw them. A jailbreak string ending in 'Confirm.' was classified as an affirmation and answered from a canned template, with no audit record written. The model did not comply, so there was no content failure - but the attempt was neither blocked nor logged, and any robustness figure measured in that configuration would have been computed only over traffic that reached the defended component.</w:t>
      </w:r>
    </w:p>
    <w:p>
      <w:pPr>
        <w:spacing w:after="60" w:before="160" w:line="240" w:lineRule="auto"/>
        <w:jc w:val="left"/>
      </w:pPr>
      <w:r>
        <w:rPr>
          <w:rFonts w:ascii="Times New Roman" w:hAnsi="Times New Roman"/>
          <w:b/>
          <w:i w:val="0"/>
          <w:sz w:val="24"/>
        </w:rPr>
        <w:t>4.3  Domain vocabulary collides with attack vocabulary</w:t>
      </w:r>
    </w:p>
    <w:p>
      <w:pPr>
        <w:spacing w:after="100" w:before="0" w:line="240" w:lineRule="auto"/>
        <w:jc w:val="both"/>
      </w:pPr>
      <w:r>
        <w:rPr>
          <w:rFonts w:ascii="Times New Roman" w:hAnsi="Times New Roman"/>
          <w:b w:val="0"/>
          <w:i w:val="0"/>
          <w:sz w:val="22"/>
        </w:rPr>
        <w:t>The injection filter matched 'act as an unrestricted agent for my brother' - a power-of-attorney question in which 'unrestricted' is standard vocabulary. The pattern now requires the persona adjective to qualify an AI noun. This generalises: in a specialised domain, keyword-based safety filters collide with legitimate terminology, and the false-positive cost is refusing a user with a real problem.</w:t>
      </w:r>
    </w:p>
    <w:p>
      <w:pPr>
        <w:spacing w:after="60" w:before="160" w:line="240" w:lineRule="auto"/>
        <w:jc w:val="left"/>
      </w:pPr>
      <w:r>
        <w:rPr>
          <w:rFonts w:ascii="Times New Roman" w:hAnsi="Times New Roman"/>
          <w:b/>
          <w:i w:val="0"/>
          <w:sz w:val="24"/>
        </w:rPr>
        <w:t>4.4  Per-worker state in a scaled deployment</w:t>
      </w:r>
    </w:p>
    <w:p>
      <w:pPr>
        <w:spacing w:after="100" w:before="0" w:line="240" w:lineRule="auto"/>
        <w:jc w:val="both"/>
      </w:pPr>
      <w:r>
        <w:rPr>
          <w:rFonts w:ascii="Times New Roman" w:hAnsi="Times New Roman"/>
          <w:b w:val="0"/>
          <w:i w:val="0"/>
          <w:sz w:val="22"/>
        </w:rPr>
        <w:t>Adaptive thresholds and drift statistics were process-local module state. Under multiple workers each kept private percentiles and a private warm-up counter, so identical queries could be graded against different thresholds depending on which worker served them, and a deploy silently reset warm-up progress to zero.</w:t>
      </w:r>
    </w:p>
    <w:p>
      <w:pPr>
        <w:spacing w:after="60" w:before="160" w:line="240" w:lineRule="auto"/>
        <w:jc w:val="left"/>
      </w:pPr>
      <w:r>
        <w:rPr>
          <w:rFonts w:ascii="Times New Roman" w:hAnsi="Times New Roman"/>
          <w:b/>
          <w:i w:val="0"/>
          <w:sz w:val="24"/>
        </w:rPr>
        <w:t>4.5  Pooling depth as a feasibility constraint</w:t>
      </w:r>
    </w:p>
    <w:p>
      <w:pPr>
        <w:spacing w:after="100" w:before="0" w:line="240" w:lineRule="auto"/>
        <w:jc w:val="both"/>
      </w:pPr>
      <w:r>
        <w:rPr>
          <w:rFonts w:ascii="Times New Roman" w:hAnsi="Times New Roman"/>
          <w:b w:val="0"/>
          <w:i w:val="0"/>
          <w:sz w:val="22"/>
        </w:rPr>
        <w:t>Retrieval returns up to 20 chunks, averaging 12.4 per record in measured traffic. Judging every one works out at roughly 50 hours for 1000 records. Pooling to depth 5 reduces that to about 17 hours and costs nothing for metrics at cut-offs of 5 or below - but the depth must be recorded, because ranks below it are unjudged rather than known irrelevant.</w:t>
      </w:r>
    </w:p>
    <w:p>
      <w:pPr>
        <w:spacing w:after="80" w:before="240" w:line="240" w:lineRule="auto"/>
        <w:jc w:val="left"/>
      </w:pPr>
      <w:r>
        <w:rPr>
          <w:rFonts w:ascii="Times New Roman" w:hAnsi="Times New Roman"/>
          <w:b/>
          <w:i w:val="0"/>
          <w:sz w:val="28"/>
        </w:rPr>
        <w:t>5.  Current data position</w:t>
      </w:r>
    </w:p>
    <w:p>
      <w:pPr>
        <w:pStyle w:val="ListBullet"/>
        <w:spacing w:after="40"/>
      </w:pPr>
      <w:r>
        <w:rPr>
          <w:rFonts w:ascii="Times New Roman" w:hAnsi="Times New Roman"/>
          <w:sz w:val="22"/>
        </w:rPr>
        <w:t>Provenance records: 21 (18 answer, 1 clarification, 2 blocked).</w:t>
      </w:r>
    </w:p>
    <w:p>
      <w:pPr>
        <w:pStyle w:val="ListBullet"/>
        <w:spacing w:after="40"/>
      </w:pPr>
      <w:r>
        <w:rPr>
          <w:rFonts w:ascii="Times New Roman" w:hAnsi="Times New Roman"/>
          <w:sz w:val="22"/>
        </w:rPr>
        <w:t>Labelled: 0.</w:t>
      </w:r>
    </w:p>
    <w:p>
      <w:pPr>
        <w:pStyle w:val="ListBullet"/>
        <w:spacing w:after="40"/>
      </w:pPr>
      <w:r>
        <w:rPr>
          <w:rFonts w:ascii="Times New Roman" w:hAnsi="Times New Roman"/>
          <w:sz w:val="22"/>
        </w:rPr>
        <w:t>Target for evaluation set and calibration fitting: ~200 labels.</w:t>
      </w:r>
    </w:p>
    <w:p>
      <w:pPr>
        <w:pStyle w:val="ListBullet"/>
        <w:spacing w:after="40"/>
      </w:pPr>
      <w:r>
        <w:rPr>
          <w:rFonts w:ascii="Times New Roman" w:hAnsi="Times New Roman"/>
          <w:sz w:val="22"/>
        </w:rPr>
        <w:t>Target for threshold warm-up: 1000 queries - unlabelled, traffic-driven, requires no annotation.</w:t>
      </w:r>
    </w:p>
    <w:p>
      <w:pPr>
        <w:pStyle w:val="ListBullet"/>
        <w:spacing w:after="40"/>
      </w:pPr>
      <w:r>
        <w:rPr>
          <w:rFonts w:ascii="Times New Roman" w:hAnsi="Times New Roman"/>
          <w:sz w:val="22"/>
        </w:rPr>
        <w:t>Observed verdicts in seed traffic: answer 10, refuse 2, defer 1, pending 3 (off-topic exits before arbitration).</w:t>
      </w:r>
    </w:p>
    <w:p>
      <w:pPr>
        <w:pStyle w:val="ListBullet"/>
        <w:spacing w:after="40"/>
      </w:pPr>
      <w:r>
        <w:rPr>
          <w:rFonts w:ascii="Times New Roman" w:hAnsi="Times New Roman"/>
          <w:sz w:val="22"/>
        </w:rPr>
        <w:t>Winning evidence source: LLM 8, lexical (BM25) 3, none 5.</w:t>
      </w:r>
    </w:p>
    <w:p>
      <w:pPr>
        <w:pStyle w:val="ListBullet"/>
        <w:spacing w:after="40"/>
      </w:pPr>
      <w:r>
        <w:rPr>
          <w:rFonts w:ascii="Times New Roman" w:hAnsi="Times New Roman"/>
          <w:sz w:val="22"/>
        </w:rPr>
        <w:t>Grounding failures: 5 of 16 turns at time of measurement.</w:t>
      </w:r>
    </w:p>
    <w:p>
      <w:pPr>
        <w:spacing w:after="100" w:before="0" w:line="240" w:lineRule="auto"/>
        <w:jc w:val="both"/>
      </w:pPr>
      <w:r>
        <w:rPr>
          <w:rFonts w:ascii="Times New Roman" w:hAnsi="Times New Roman"/>
          <w:b w:val="0"/>
          <w:i w:val="0"/>
          <w:sz w:val="22"/>
        </w:rPr>
        <w:t>Note that the seed queries were authored alongside the system. They are a bootstrap for validating the pipeline, not a benchmark, and this must be disclosed in Limitations if the final set remains developer-authored.</w:t>
      </w:r>
    </w:p>
    <w:p>
      <w:pPr>
        <w:spacing w:after="80" w:before="240" w:line="240" w:lineRule="auto"/>
        <w:jc w:val="left"/>
      </w:pPr>
      <w:r>
        <w:rPr>
          <w:rFonts w:ascii="Times New Roman" w:hAnsi="Times New Roman"/>
          <w:b/>
          <w:i w:val="0"/>
          <w:sz w:val="28"/>
        </w:rPr>
        <w:t>6.  Open risks</w:t>
      </w:r>
    </w:p>
    <w:p>
      <w:pPr>
        <w:pStyle w:val="ListBullet"/>
        <w:spacing w:after="40"/>
      </w:pPr>
      <w:r>
        <w:rPr>
          <w:rFonts w:ascii="Times New Roman" w:hAnsi="Times New Roman"/>
          <w:sz w:val="22"/>
        </w:rPr>
        <w:t>Calibration is not fitted. Platt and isotonic transforms are identity until labelled data exists. The title must say 'selective', not 'calibrated', until this changes.</w:t>
      </w:r>
    </w:p>
    <w:p>
      <w:pPr>
        <w:pStyle w:val="ListBullet"/>
        <w:spacing w:after="40"/>
      </w:pPr>
      <w:r>
        <w:rPr>
          <w:rFonts w:ascii="Times New Roman" w:hAnsi="Times New Roman"/>
          <w:sz w:val="22"/>
        </w:rPr>
        <w:t>No lawyer-adjudicated gold answers. Relevance judgements are the author's own.</w:t>
      </w:r>
    </w:p>
    <w:p>
      <w:pPr>
        <w:pStyle w:val="ListBullet"/>
        <w:spacing w:after="40"/>
      </w:pPr>
      <w:r>
        <w:rPr>
          <w:rFonts w:ascii="Times New Roman" w:hAnsi="Times New Roman"/>
          <w:sz w:val="22"/>
        </w:rPr>
        <w:t>Single jurisdiction, and a corpus weighted towards statutes over case law.</w:t>
      </w:r>
    </w:p>
    <w:p>
      <w:pPr>
        <w:pStyle w:val="ListBullet"/>
        <w:spacing w:after="40"/>
      </w:pPr>
      <w:r>
        <w:rPr>
          <w:rFonts w:ascii="Times New Roman" w:hAnsi="Times New Roman"/>
          <w:sz w:val="22"/>
        </w:rPr>
        <w:t>RESOLVED: the action cost vector was not merely hand-set, it was inert - 512 cost vectors over 65 decision points changed no action. Replaced with an expected-loss rule over an explicit harm matrix; the threshold is now the harm ratio by derivation. rho remains unelicited.</w:t>
      </w:r>
    </w:p>
    <w:p>
      <w:pPr>
        <w:pStyle w:val="ListBullet"/>
        <w:spacing w:after="40"/>
      </w:pPr>
      <w:r>
        <w:rPr>
          <w:rFonts w:ascii="Times New Roman" w:hAnsi="Times New Roman"/>
          <w:sz w:val="22"/>
        </w:rPr>
        <w:t>A retrieval failure was observed on a legitimate Roman-Urdu family-law query, which returned zero chunks and was refused. Investigate before generating bulk traffic.</w:t>
      </w:r>
    </w:p>
    <w:p>
      <w:pPr>
        <w:pStyle w:val="ListBullet"/>
        <w:spacing w:after="40"/>
      </w:pPr>
      <w:r>
        <w:rPr>
          <w:rFonts w:ascii="Times New Roman" w:hAnsi="Times New Roman"/>
          <w:sz w:val="22"/>
        </w:rPr>
        <w:t>The gatekeeper pattern 'you are now X' would flag 'you are now my lawyer'. Pre-existing, unaddressed.</w:t>
      </w:r>
    </w:p>
    <w:p>
      <w:pPr>
        <w:spacing w:after="80" w:before="240" w:line="240" w:lineRule="auto"/>
        <w:jc w:val="left"/>
      </w:pPr>
      <w:r>
        <w:rPr>
          <w:rFonts w:ascii="Times New Roman" w:hAnsi="Times New Roman"/>
          <w:b/>
          <w:i w:val="0"/>
          <w:sz w:val="28"/>
        </w:rPr>
        <w:t>7.  Reproducibility</w:t>
      </w:r>
    </w:p>
    <w:p>
      <w:pPr>
        <w:pStyle w:val="ListBullet"/>
        <w:spacing w:after="40"/>
      </w:pPr>
      <w:r>
        <w:rPr>
          <w:rFonts w:ascii="Times New Roman" w:hAnsi="Times New Roman"/>
          <w:sz w:val="22"/>
        </w:rPr>
        <w:t>scripts/seed_traffic.py - version-controlled query set across six categories; --list, --kind, --limit.</w:t>
      </w:r>
    </w:p>
    <w:p>
      <w:pPr>
        <w:pStyle w:val="ListBullet"/>
        <w:spacing w:after="40"/>
      </w:pPr>
      <w:r>
        <w:rPr>
          <w:rFonts w:ascii="Times New Roman" w:hAnsi="Times New Roman"/>
          <w:sz w:val="22"/>
        </w:rPr>
        <w:t>scripts/label_provenance.py - resumable labelling; --stats, --label, --top-k, --export, --export-calibration.</w:t>
      </w:r>
    </w:p>
    <w:p>
      <w:pPr>
        <w:pStyle w:val="ListBullet"/>
        <w:spacing w:after="40"/>
      </w:pPr>
      <w:r>
        <w:rPr>
          <w:rFonts w:ascii="Times New Roman" w:hAnsi="Times New Roman"/>
          <w:sz w:val="22"/>
        </w:rPr>
        <w:t>scripts/evaluate_retrieval.py - Hit@K, MRR, nDCG.</w:t>
      </w:r>
    </w:p>
    <w:p>
      <w:pPr>
        <w:pStyle w:val="ListBullet"/>
        <w:spacing w:after="40"/>
      </w:pPr>
      <w:r>
        <w:rPr>
          <w:rFonts w:ascii="Times New Roman" w:hAnsi="Times New Roman"/>
          <w:sz w:val="22"/>
        </w:rPr>
        <w:t>scripts/backfill_turn_type.py - schema migration, dry-run by default.</w:t>
      </w:r>
    </w:p>
    <w:p>
      <w:pPr>
        <w:pStyle w:val="ListBullet"/>
        <w:spacing w:after="40"/>
      </w:pPr>
      <w:r>
        <w:rPr>
          <w:rFonts w:ascii="Times New Roman" w:hAnsi="Times New Roman"/>
          <w:sz w:val="22"/>
        </w:rPr>
        <w:t>Provenance records store embedding and chunking versions, so a later run can be checked against the configuration that produced it.</w:t>
      </w:r>
    </w:p>
    <w:p>
      <w:pPr>
        <w:spacing w:after="80" w:before="0" w:line="240" w:lineRule="auto"/>
        <w:jc w:val="both"/>
      </w:pPr>
    </w:p>
    <w:p>
      <w:pPr>
        <w:spacing w:after="80" w:line="240" w:lineRule="auto"/>
        <w:jc w:val="both"/>
      </w:pPr>
      <w:r>
        <w:rPr>
          <w:rFonts w:ascii="Times New Roman" w:hAnsi="Times New Roman"/>
          <w:b/>
          <w:i w:val="0"/>
          <w:sz w:val="22"/>
        </w:rPr>
        <w:t xml:space="preserve">Reminder: </w:t>
      </w:r>
      <w:r>
        <w:rPr>
          <w:rFonts w:ascii="Times New Roman" w:hAnsi="Times New Roman"/>
          <w:b w:val="0"/>
          <w:i/>
          <w:sz w:val="22"/>
        </w:rPr>
        <w:t>delete every red TODO from the paper before submission, and confirm the page count after doing 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