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Pr>
      <w:r>
        <w:rPr>
          <w:rFonts w:ascii="Times New Roman" w:hAnsi="Times New Roman"/>
          <w:b w:val="0"/>
          <w:i w:val="0"/>
          <w:sz w:val="48"/>
        </w:rPr>
        <w:t>In-Distribution Gains Do Not Transfer: Leakage-Free Evaluation of Retrieval Interventions for Low-Resource Legal Question Answering</w:t>
      </w:r>
    </w:p>
    <w:p>
      <w:pPr>
        <w:spacing w:after="40" w:before="0" w:line="240" w:lineRule="auto"/>
        <w:ind w:firstLine="0"/>
        <w:jc w:val="center"/>
      </w:pPr>
      <w:r>
        <w:rPr>
          <w:rFonts w:ascii="Times New Roman" w:hAnsi="Times New Roman"/>
          <w:b/>
          <w:i w:val="0"/>
          <w:sz w:val="22"/>
        </w:rPr>
        <w:t>Muhammad Usama</w:t>
      </w:r>
      <w:r>
        <w:rPr>
          <w:rFonts w:ascii="Times New Roman" w:hAnsi="Times New Roman"/>
          <w:b/>
          <w:i w:val="0"/>
          <w:sz w:val="22"/>
        </w:rPr>
        <w:t>¹</w:t>
      </w:r>
      <w:r>
        <w:rPr>
          <w:rFonts w:ascii="Times New Roman" w:hAnsi="Times New Roman"/>
          <w:b w:val="0"/>
          <w:i w:val="0"/>
          <w:sz w:val="22"/>
        </w:rPr>
        <w:t xml:space="preserve"> and </w:t>
      </w:r>
      <w:r>
        <w:rPr>
          <w:rFonts w:ascii="Times New Roman" w:hAnsi="Times New Roman"/>
          <w:b/>
          <w:i w:val="0"/>
          <w:sz w:val="22"/>
        </w:rPr>
        <w:t>Muhammad Amir Zarmaan Ullah Khan</w:t>
      </w:r>
      <w:r>
        <w:rPr>
          <w:rFonts w:ascii="Times New Roman" w:hAnsi="Times New Roman"/>
          <w:b/>
          <w:i w:val="0"/>
          <w:sz w:val="22"/>
        </w:rPr>
        <w:t>²</w:t>
      </w:r>
    </w:p>
    <w:p>
      <w:pPr>
        <w:spacing w:after="40" w:before="0" w:line="240" w:lineRule="auto"/>
        <w:jc w:val="center"/>
      </w:pPr>
      <w:r>
        <w:rPr>
          <w:rFonts w:ascii="Times New Roman" w:hAnsi="Times New Roman"/>
          <w:b w:val="0"/>
          <w:i/>
          <w:sz w:val="20"/>
        </w:rPr>
        <w:t>¹,²Department of Computer Science, COMSATS University Islamabad, Pakistan</w:t>
      </w:r>
    </w:p>
    <w:p>
      <w:pPr>
        <w:spacing w:after="200" w:before="0"/>
        <w:jc w:val="center"/>
      </w:pPr>
      <w:hyperlink r:id="rId9">
        <w:r>
          <w:rPr>
            <w:color w:val="000000"/>
            <w:u w:val="single"/>
            <w:rFonts w:ascii="Times New Roman" w:hAnsi="Times New Roman"/>
            <w:sz w:val="18"/>
          </w:rPr>
          <w:t xml:space="preserve">muhammadusamahoyrr@gmail.com</w:t>
        </w:r>
      </w:hyperlink>
      <w:r>
        <w:rPr>
          <w:rFonts w:ascii="Times New Roman" w:hAnsi="Times New Roman"/>
          <w:sz w:val="18"/>
        </w:rPr>
        <w:t xml:space="preserve">, </w:t>
      </w:r>
      <w:hyperlink r:id="rId10">
        <w:r>
          <w:rPr>
            <w:color w:val="000000"/>
            <w:u w:val="single"/>
            <w:rFonts w:ascii="Times New Roman" w:hAnsi="Times New Roman"/>
            <w:sz w:val="18"/>
          </w:rPr>
          <w:t xml:space="preserve">kzari898@gmail.com</w:t>
        </w:r>
      </w:hyperlink>
    </w:p>
    <w:p>
      <w:pPr>
        <w:sectPr>
          <w:pgSz w:w="12240" w:h="15840"/>
          <w:pgMar w:top="1080" w:right="900" w:bottom="1440" w:left="900" w:header="720" w:footer="720" w:gutter="0"/>
          <w:cols w:space="360" w:num="1" w:equalWidth="1"/>
          <w:docGrid w:linePitch="360"/>
        </w:sectPr>
      </w:pPr>
    </w:p>
    <w:p>
      <w:pPr>
        <w:spacing w:after="80" w:before="0" w:line="240" w:lineRule="auto"/>
        <w:ind w:firstLine="0"/>
        <w:jc w:val="both"/>
      </w:pPr>
      <w:r>
        <w:rPr>
          <w:rFonts w:ascii="Times New Roman" w:hAnsi="Times New Roman"/>
          <w:b/>
          <w:i/>
          <w:sz w:val="18"/>
        </w:rPr>
        <w:t>Abstract</w:t>
      </w:r>
      <w:r>
        <w:rPr>
          <w:rFonts w:ascii="Times New Roman" w:hAnsi="Times New Roman"/>
          <w:b/>
          <w:i/>
          <w:sz w:val="18"/>
        </w:rPr>
        <w:t>—</w:t>
      </w:r>
      <w:r>
        <w:rPr>
          <w:rFonts w:ascii="Times New Roman" w:hAnsi="Times New Roman"/>
          <w:b/>
          <w:i/>
          <w:sz w:val="18"/>
        </w:rPr>
        <w:t>Retrieval interventions for legal question answering are almost always reported on evaluation sets drawn from the same distribution as fine-tuning data. We report what happens when they are not. Fine-tuning a multilingual retriever on 4,692 verified citation pairs for Pakistani law gains +26.5 Hit@1 on held-out questions from its own generator and +2.4 when the question style changes. A second model, trained on a tenth as much data from a different source, initially shows a +16.5 in-distribution gain, but target leakage invalidates that comparison; on clean out-of-distribution evaluation it changes by −0.3. Sorting every intervention by whether its effect survived a style change produces a clean split: those encoding legal or document structure transferred; those learning question phrasing did not, including a cross-encoder that demoted the correct statute from rank 3 to rank 10 where a deterministic statutory-scope rule placed it first in under a millisecond. Three evaluation defects (an index containing its own test answers, a wrong gold-label join, and target leakage between train and test) each inflated or distorted a headline number; the flattering version was wrong every time. The measurement protocol determined the conclusions more than any technique did.</w:t>
      </w:r>
    </w:p>
    <w:p>
      <w:pPr>
        <w:spacing w:after="160" w:before="0" w:line="240" w:lineRule="auto"/>
        <w:ind w:firstLine="0"/>
        <w:jc w:val="both"/>
      </w:pPr>
      <w:r>
        <w:rPr>
          <w:rFonts w:ascii="Times New Roman" w:hAnsi="Times New Roman"/>
          <w:b/>
          <w:i/>
          <w:sz w:val="18"/>
        </w:rPr>
        <w:t>Keywords</w:t>
      </w:r>
      <w:r>
        <w:rPr>
          <w:rFonts w:ascii="Times New Roman" w:hAnsi="Times New Roman"/>
          <w:b/>
          <w:i/>
          <w:sz w:val="18"/>
        </w:rPr>
        <w:t>—</w:t>
      </w:r>
      <w:r>
        <w:rPr>
          <w:rFonts w:ascii="Times New Roman" w:hAnsi="Times New Roman"/>
          <w:b w:val="0"/>
          <w:i/>
          <w:sz w:val="18"/>
        </w:rPr>
        <w:t>legal informatics, retrieval-augmented generation, retrieval evaluation, distribution shift, data contamination, low-resource NLP, code-switching, Urdu</w:t>
      </w:r>
    </w:p>
    <w:p>
      <w:pPr>
        <w:spacing w:after="60" w:before="160" w:line="240" w:lineRule="auto"/>
        <w:jc w:val="center"/>
      </w:pPr>
      <w:r>
        <w:rPr>
          <w:rFonts w:ascii="Times New Roman" w:hAnsi="Times New Roman"/>
          <w:b/>
          <w:i w:val="0"/>
          <w:sz w:val="20"/>
        </w:rPr>
        <w:t>I.  INTRODUCTION</w:t>
      </w:r>
    </w:p>
    <w:p>
      <w:pPr>
        <w:spacing w:after="80" w:before="0" w:line="240" w:lineRule="auto"/>
        <w:ind w:firstLine="259"/>
        <w:jc w:val="both"/>
      </w:pPr>
      <w:r>
        <w:rPr>
          <w:rFonts w:ascii="Times New Roman" w:hAnsi="Times New Roman"/>
          <w:b w:val="0"/>
          <w:i w:val="0"/>
          <w:sz w:val="20"/>
        </w:rPr>
        <w:t>Access to legal information is unevenly distributed. In Pakistan, where legal counsel is scarce outside major urban centres and court backlogs leave disputes unresolved for years, a litigant who cannot afford counsel often cannot establish even the threshold facts of their position: which statute governs, which forum has jurisdiction, or whether a limitation period has already expired.</w:t>
      </w:r>
    </w:p>
    <w:p>
      <w:pPr>
        <w:spacing w:after="80" w:before="0" w:line="240" w:lineRule="auto"/>
        <w:ind w:firstLine="259"/>
        <w:jc w:val="both"/>
      </w:pPr>
      <w:r>
        <w:rPr>
          <w:rFonts w:ascii="Times New Roman" w:hAnsi="Times New Roman"/>
          <w:b w:val="0"/>
          <w:i w:val="0"/>
          <w:sz w:val="20"/>
        </w:rPr>
        <w:t xml:space="preserve">Retrieval-augmented generation (RAG) </w:t>
      </w:r>
      <w:hyperlink w:anchor="ref_1">
        <w:r>
          <w:rPr>
            <w:color w:val="000000"/>
            <w:u w:val="none"/>
            <w:rFonts w:ascii="Times New Roman" w:hAnsi="Times New Roman"/>
            <w:sz w:val="20"/>
          </w:rPr>
          <w:t xml:space="preserve">[1]</w:t>
        </w:r>
      </w:hyperlink>
      <w:r>
        <w:rPr>
          <w:rFonts w:ascii="Times New Roman" w:hAnsi="Times New Roman"/>
          <w:b w:val="0"/>
          <w:i w:val="0"/>
          <w:sz w:val="20"/>
        </w:rPr>
        <w:t xml:space="preserve"> is the standard response, and legal question answering is now an active area </w:t>
      </w:r>
      <w:hyperlink w:anchor="ref_2">
        <w:r>
          <w:rPr>
            <w:color w:val="000000"/>
            <w:u w:val="none"/>
            <w:rFonts w:ascii="Times New Roman" w:hAnsi="Times New Roman"/>
            <w:sz w:val="20"/>
          </w:rPr>
          <w:t xml:space="preserve">[2]</w:t>
        </w:r>
      </w:hyperlink>
      <w:r>
        <w:rPr>
          <w:rFonts w:ascii="Times New Roman" w:hAnsi="Times New Roman"/>
          <w:b w:val="0"/>
          <w:i w:val="0"/>
          <w:sz w:val="20"/>
        </w:rPr>
        <w:t xml:space="preserve">, </w:t>
      </w:r>
      <w:hyperlink w:anchor="ref_3">
        <w:r>
          <w:rPr>
            <w:color w:val="000000"/>
            <w:u w:val="none"/>
            <w:rFonts w:ascii="Times New Roman" w:hAnsi="Times New Roman"/>
            <w:sz w:val="20"/>
          </w:rPr>
          <w:t xml:space="preserve">[3]</w:t>
        </w:r>
      </w:hyperlink>
      <w:r>
        <w:rPr>
          <w:rFonts w:ascii="Times New Roman" w:hAnsi="Times New Roman"/>
          <w:b w:val="0"/>
          <w:i w:val="0"/>
          <w:sz w:val="20"/>
        </w:rPr>
        <w:t>. Applying it to Pakistan is not a matter of swapping the corpus. Queries arrive in English, Urdu script, and most commonly in Roman Urdu; applicable law combines codified statute with Islamic personal law and varies by province; users routinely cite Indian codes when Pakistani ones govern. Each is a retrieval problem before it is a generation problem, and none has an established benchmark.</w:t>
      </w:r>
    </w:p>
    <w:p>
      <w:pPr>
        <w:spacing w:after="80" w:before="0" w:line="240" w:lineRule="auto"/>
        <w:ind w:firstLine="259"/>
        <w:jc w:val="both"/>
      </w:pPr>
      <w:r>
        <w:rPr>
          <w:rFonts w:ascii="Times New Roman" w:hAnsi="Times New Roman"/>
          <w:b w:val="0"/>
          <w:i w:val="0"/>
          <w:sz w:val="20"/>
        </w:rPr>
        <w:t>When no independent evaluation set exists, a system’s developers build one, tune against it, and report the number. We set out to improve retrieval for this jurisdiction and measured each intervention twice: on questions from the distribution it was developed against, and on questions written by a different generator. The gap between those two measurements exceeded the gap between any two techniques we tried.</w:t>
      </w:r>
    </w:p>
    <w:p>
      <w:pPr>
        <w:spacing w:after="80" w:before="0" w:line="240" w:lineRule="auto"/>
        <w:ind w:firstLine="259"/>
        <w:jc w:val="both"/>
      </w:pPr>
      <w:r>
        <w:rPr>
          <w:rFonts w:ascii="Times New Roman" w:hAnsi="Times New Roman"/>
          <w:b w:val="0"/>
          <w:i w:val="0"/>
          <w:sz w:val="20"/>
        </w:rPr>
        <w:t>We report this as a negative result with positive structure. Interventions divide by what they encode: those capturing a property of the law or documents survived the style change; those learning a mapping from question phrasing to passage did not. Our contributions:</w:t>
      </w:r>
    </w:p>
    <w:p>
      <w:pPr>
        <w:spacing w:after="4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Transfer measurement of retrieval fine-tuning </w:t>
      </w:r>
      <w:r>
        <w:rPr>
          <w:rFonts w:ascii="Times New Roman" w:hAnsi="Times New Roman"/>
          <w:b w:val="0"/>
          <w:i w:val="0"/>
          <w:sz w:val="20"/>
        </w:rPr>
        <w:t>over two independently trained models at a tenfold scale difference, with an account of why this predicts which interventions transfer (Sections III–IV).</w:t>
      </w:r>
    </w:p>
    <w:p>
      <w:pPr>
        <w:spacing w:after="4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Three contaminations and how each was found: </w:t>
      </w:r>
      <w:r>
        <w:rPr>
          <w:rFonts w:ascii="Times New Roman" w:hAnsi="Times New Roman"/>
          <w:b w:val="0"/>
          <w:i w:val="0"/>
          <w:sz w:val="20"/>
        </w:rPr>
        <w:t>a leaking index, a systematically wrong gold-label join, and target leakage between test and training, none visible in the metrics (Section V).</w:t>
      </w:r>
    </w:p>
    <w:p>
      <w:pPr>
        <w:spacing w:after="10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Verified citation supervision </w:t>
      </w:r>
      <w:r>
        <w:rPr>
          <w:rFonts w:ascii="Times New Roman" w:hAnsi="Times New Roman"/>
          <w:b w:val="0"/>
          <w:i w:val="0"/>
          <w:sz w:val="20"/>
        </w:rPr>
        <w:t>for a jurisdiction with no query/passage training data, built from citations because a citation is checkable (Section III-B).</w:t>
      </w:r>
    </w:p>
    <w:p>
      <w:pPr>
        <w:spacing w:after="100" w:before="0" w:line="240" w:lineRule="auto"/>
        <w:ind w:firstLine="259"/>
        <w:jc w:val="both"/>
      </w:pPr>
      <w:r>
        <w:rPr>
          <w:rFonts w:ascii="Times New Roman" w:hAnsi="Times New Roman"/>
          <w:b/>
          <w:i/>
          <w:sz w:val="20"/>
        </w:rPr>
        <w:t xml:space="preserve">Scope of claims. </w:t>
      </w:r>
      <w:r>
        <w:rPr>
          <w:rFonts w:ascii="Times New Roman" w:hAnsi="Times New Roman"/>
          <w:b w:val="0"/>
          <w:i w:val="0"/>
          <w:sz w:val="20"/>
        </w:rPr>
        <w:t>Several results below are defects we found in our own system, reported as findings rather than apology: each was invisible to the metric meant to catch it, and these failure modes are not specific to a single model configuration. What we do not claim is equally definite: no end-to-end improvement in answer correctness, and no Pakistan-wide coverage. Section VII states each limit and what it bears on.</w:t>
      </w:r>
    </w:p>
    <w:p>
      <w:pPr>
        <w:spacing w:after="60" w:before="160" w:line="240" w:lineRule="auto"/>
        <w:jc w:val="center"/>
      </w:pPr>
      <w:r>
        <w:rPr>
          <w:rFonts w:ascii="Times New Roman" w:hAnsi="Times New Roman"/>
          <w:b/>
          <w:i w:val="0"/>
          <w:sz w:val="20"/>
        </w:rPr>
        <w:t>II.  RELATED WORK</w:t>
      </w:r>
    </w:p>
    <w:p>
      <w:pPr>
        <w:spacing w:after="80" w:before="0" w:line="240" w:lineRule="auto"/>
        <w:ind w:firstLine="259"/>
        <w:jc w:val="both"/>
      </w:pPr>
      <w:r>
        <w:rPr>
          <w:rFonts w:ascii="Times New Roman" w:hAnsi="Times New Roman"/>
          <w:b/>
          <w:i w:val="0"/>
          <w:sz w:val="20"/>
        </w:rPr>
        <w:t xml:space="preserve">Legal NLP and RAG. </w:t>
      </w:r>
      <w:r>
        <w:rPr>
          <w:rFonts w:ascii="Times New Roman" w:hAnsi="Times New Roman"/>
          <w:b w:val="0"/>
          <w:i w:val="0"/>
          <w:sz w:val="20"/>
        </w:rPr>
        <w:t>Domain-adapted encoders such as LEGAL-BERT [2] showed legal text benefits from in-domain pretraining; LegalBench [3] and LeCaRD [4] benchmark legal reasoning and retrieval. RAG [1] over dense passage retrieval [5] is the standard grounding architecture. Self-RAG [6] adds self-reflection over retrieval quality. This line targets English and common-law material almost exclusively, and reports in-domain evaluation on benchmarks it did not construct, a luxury this jurisdiction does not afford.</w:t>
      </w:r>
    </w:p>
    <w:p>
      <w:pPr>
        <w:spacing w:after="80" w:before="0" w:line="240" w:lineRule="auto"/>
        <w:ind w:firstLine="259"/>
        <w:jc w:val="both"/>
      </w:pPr>
      <w:r>
        <w:rPr>
          <w:rFonts w:ascii="Times New Roman" w:hAnsi="Times New Roman"/>
          <w:b/>
          <w:i w:val="0"/>
          <w:sz w:val="20"/>
        </w:rPr>
        <w:t xml:space="preserve">Low-resource and hybrid retrieval. </w:t>
      </w:r>
      <w:r>
        <w:rPr>
          <w:rFonts w:ascii="Times New Roman" w:hAnsi="Times New Roman"/>
          <w:b w:val="0"/>
          <w:i w:val="0"/>
          <w:sz w:val="20"/>
        </w:rPr>
        <w:t>Multilingual dense encoders [7] make a single index viable across scripts; hybrid lexical–dense retrieval with rank fusion [8],[9] remains strong where exact terminology matters, as it does for statute references. BEIR [10] and MTEB [11] evaluate zero-shot generalisation across datasets but have no analogue for a low-resource jurisdiction where the developer must build the only evaluation set that exists.</w:t>
      </w:r>
    </w:p>
    <w:p>
      <w:pPr>
        <w:spacing w:after="100" w:before="0" w:line="240" w:lineRule="auto"/>
        <w:ind w:firstLine="259"/>
        <w:jc w:val="both"/>
      </w:pPr>
      <w:r>
        <w:rPr>
          <w:rFonts w:ascii="Times New Roman" w:hAnsi="Times New Roman"/>
          <w:b/>
          <w:i w:val="0"/>
          <w:sz w:val="20"/>
        </w:rPr>
        <w:t xml:space="preserve">Generalisation and contamination in evaluation. </w:t>
      </w:r>
      <w:r>
        <w:rPr>
          <w:rFonts w:ascii="Times New Roman" w:hAnsi="Times New Roman"/>
          <w:b w:val="0"/>
          <w:i w:val="0"/>
          <w:sz w:val="20"/>
        </w:rPr>
        <w:t>That a retriever’s gain may not survive a change of domain is established for English: BEIR [10] and MTEB [11] find in-domain strength a poor predictor of out-of-domain strength. Neither has an analogue for a low-resource jurisdiction, where the developer must build the only evaluation set that exists; and neither reports what fusion does to a dense channel fine-tuned on the domain, which Section V-C measures. Contamination is likewise recognised as a systematic threat [12],[13],[14],[15], though that literature concentrates on pretraining corpora; we report the retrieval-specific case, in which the index is itself a system component and can leak (Section V-D).</w:t>
      </w:r>
    </w:p>
    <w:p>
      <w:pPr>
        <w:spacing w:after="60" w:before="160" w:line="240" w:lineRule="auto"/>
        <w:jc w:val="center"/>
      </w:pPr>
      <w:r>
        <w:rPr>
          <w:rFonts w:ascii="Times New Roman" w:hAnsi="Times New Roman"/>
          <w:b/>
          <w:i w:val="0"/>
          <w:sz w:val="20"/>
        </w:rPr>
        <w:t>III.  EXPERIMENTAL SETUP</w:t>
      </w:r>
    </w:p>
    <w:p>
      <w:pPr>
        <w:spacing w:after="40" w:before="100" w:line="240" w:lineRule="auto"/>
        <w:jc w:val="left"/>
      </w:pPr>
      <w:r>
        <w:rPr>
          <w:rFonts w:ascii="Times New Roman" w:hAnsi="Times New Roman"/>
          <w:b w:val="0"/>
          <w:i/>
          <w:sz w:val="20"/>
        </w:rPr>
        <w:t>A.  Corpus and Retrieval</w:t>
      </w:r>
    </w:p>
    <w:p>
      <w:pPr>
        <w:spacing w:after="80" w:before="0" w:line="240" w:lineRule="auto"/>
        <w:ind w:firstLine="259"/>
        <w:jc w:val="both"/>
      </w:pPr>
      <w:r>
        <w:rPr>
          <w:rFonts w:ascii="Times New Roman" w:hAnsi="Times New Roman"/>
          <w:b w:val="0"/>
          <w:i w:val="0"/>
          <w:sz w:val="20"/>
        </w:rPr>
        <w:t xml:space="preserve">The statute corpus is drawn from 969 Pakistani legal documents </w:t>
      </w:r>
      <w:hyperlink w:anchor="ref_16">
        <w:r>
          <w:rPr>
            <w:color w:val="000000"/>
            <w:u w:val="none"/>
            <w:rFonts w:ascii="Times New Roman" w:hAnsi="Times New Roman"/>
            <w:sz w:val="20"/>
          </w:rPr>
          <w:t xml:space="preserve">[16]</w:t>
        </w:r>
      </w:hyperlink>
      <w:r>
        <w:rPr>
          <w:rFonts w:ascii="Times New Roman" w:hAnsi="Times New Roman"/>
          <w:b w:val="0"/>
          <w:i w:val="0"/>
          <w:sz w:val="20"/>
        </w:rPr>
        <w:t xml:space="preserve"> (Ministry of Law and Justice PDFs, ODC-BY licence), segmented by section into four domain collections: civil, criminal, family, and constitutional. Supplemented by instruments from the official consolidated legislation service </w:t>
      </w:r>
      <w:hyperlink w:anchor="ref_17">
        <w:r>
          <w:rPr>
            <w:color w:val="000000"/>
            <w:u w:val="none"/>
            <w:rFonts w:ascii="Times New Roman" w:hAnsi="Times New Roman"/>
            <w:sz w:val="20"/>
          </w:rPr>
          <w:t xml:space="preserve">[17]</w:t>
        </w:r>
      </w:hyperlink>
      <w:r>
        <w:rPr>
          <w:rFonts w:ascii="Times New Roman" w:hAnsi="Times New Roman"/>
          <w:b w:val="0"/>
          <w:i w:val="0"/>
          <w:sz w:val="20"/>
        </w:rPr>
        <w:t xml:space="preserve"> (including the Code of Civil Procedure 1908 and 20 family-law statutes absent from the public collection), the indexed corpus reaches 10,042 statutory chunks. A bilingual constitutional Q&amp;A set </w:t>
      </w:r>
      <w:hyperlink w:anchor="ref_18">
        <w:r>
          <w:rPr>
            <w:color w:val="000000"/>
            <w:u w:val="none"/>
            <w:rFonts w:ascii="Times New Roman" w:hAnsi="Times New Roman"/>
            <w:sz w:val="20"/>
          </w:rPr>
          <w:t xml:space="preserve">[18]</w:t>
        </w:r>
      </w:hyperlink>
      <w:r>
        <w:rPr>
          <w:rFonts w:ascii="Times New Roman" w:hAnsi="Times New Roman"/>
          <w:b w:val="0"/>
          <w:i w:val="0"/>
          <w:sz w:val="20"/>
        </w:rPr>
        <w:t xml:space="preserve"> supplies evaluation questions only and is not indexed (Section V-D). A separate judgment corpus of 7,529 chunks from six courts supports case-law retrieval.</w:t>
      </w:r>
    </w:p>
    <w:p>
      <w:pPr>
        <w:spacing w:after="40" w:before="80" w:line="240" w:lineRule="auto"/>
        <w:jc w:val="center"/>
      </w:pPr>
      <w:r>
        <w:drawing>
          <wp:inline xmlns:a="http://schemas.openxmlformats.org/drawingml/2006/main" xmlns:pic="http://schemas.openxmlformats.org/drawingml/2006/picture">
            <wp:extent cx="2926994" cy="1723061"/>
            <wp:docPr id="1" name="Picture 1"/>
            <wp:cNvGraphicFramePr>
              <a:graphicFrameLocks noChangeAspect="1"/>
            </wp:cNvGraphicFramePr>
            <a:graphic>
              <a:graphicData uri="http://schemas.openxmlformats.org/drawingml/2006/picture">
                <pic:pic>
                  <pic:nvPicPr>
                    <pic:cNvPr id="0" name="fig1_corpus.png"/>
                    <pic:cNvPicPr/>
                  </pic:nvPicPr>
                  <pic:blipFill>
                    <a:blip r:embed="rId11"/>
                    <a:stretch>
                      <a:fillRect/>
                    </a:stretch>
                  </pic:blipFill>
                  <pic:spPr>
                    <a:xfrm>
                      <a:off x="0" y="0"/>
                      <a:ext cx="2926994" cy="1723061"/>
                    </a:xfrm>
                    <a:prstGeom prst="rect"/>
                  </pic:spPr>
                </pic:pic>
              </a:graphicData>
            </a:graphic>
          </wp:inline>
        </w:drawing>
      </w:r>
    </w:p>
    <w:p>
      <w:pPr>
        <w:spacing w:after="120" w:before="0" w:line="240" w:lineRule="auto"/>
        <w:jc w:val="center"/>
      </w:pPr>
      <w:r>
        <w:rPr>
          <w:rFonts w:ascii="Times New Roman" w:hAnsi="Times New Roman"/>
          <w:b w:val="0"/>
          <w:i w:val="0"/>
          <w:sz w:val="16"/>
        </w:rPr>
        <w:t>Fig. 1. Indexed statutory corpus by collection and legislative tier. Devolved provincial coverage is Punjab-only (1,608 of 10,042 chunks across civil, criminal, and family law); constitutional law is inherently federal. The judgment corpus (7,529 chunks) is not shown.</w:t>
      </w:r>
    </w:p>
    <w:p>
      <w:pPr>
        <w:spacing w:after="80" w:before="0" w:line="240" w:lineRule="auto"/>
        <w:ind w:firstLine="259"/>
        <w:jc w:val="both"/>
      </w:pPr>
      <w:r>
        <w:rPr>
          <w:rFonts w:ascii="Times New Roman" w:hAnsi="Times New Roman"/>
          <w:b w:val="0"/>
          <w:i w:val="0"/>
          <w:sz w:val="20"/>
        </w:rPr>
        <w:t xml:space="preserve">Retrieval is hybrid: BM25 and dense multilingual-e5-base </w:t>
      </w:r>
      <w:hyperlink w:anchor="ref_7">
        <w:r>
          <w:rPr>
            <w:color w:val="000000"/>
            <w:u w:val="none"/>
            <w:rFonts w:ascii="Times New Roman" w:hAnsi="Times New Roman"/>
            <w:sz w:val="20"/>
          </w:rPr>
          <w:t xml:space="preserve">[7]</w:t>
        </w:r>
      </w:hyperlink>
      <w:r>
        <w:rPr>
          <w:rFonts w:ascii="Times New Roman" w:hAnsi="Times New Roman"/>
          <w:b w:val="0"/>
          <w:i w:val="0"/>
          <w:sz w:val="20"/>
        </w:rPr>
        <w:t xml:space="preserve"> embeddings combined by weighted ensemble (0.6 lexical, 0.4 dense). The lexical channel is weighted higher because exact statute and section references carry disproportionate signal. Both channels are filtered by province: a query for a given province retrieves only that province’s provisions or federal ones. A rule-based alias layer rewrites cross-jurisdictional references (e.g. Indian Penal Code → Pakistan Penal Code) before retrieval.</w:t>
      </w:r>
    </w:p>
    <w:p>
      <w:pPr>
        <w:spacing w:after="100" w:before="0" w:line="240" w:lineRule="auto"/>
        <w:ind w:firstLine="259"/>
        <w:jc w:val="both"/>
      </w:pPr>
      <w:r>
        <w:rPr>
          <w:rFonts w:ascii="Times New Roman" w:hAnsi="Times New Roman"/>
          <w:b/>
          <w:i/>
          <w:sz w:val="20"/>
        </w:rPr>
        <w:t xml:space="preserve">Reproducibility. </w:t>
      </w:r>
      <w:r>
        <w:rPr>
          <w:rFonts w:ascii="Times New Roman" w:hAnsi="Times New Roman"/>
          <w:b w:val="0"/>
          <w:i w:val="0"/>
          <w:sz w:val="20"/>
        </w:rPr>
        <w:t>All evaluation protocols, corpus ingestion manifests, contamination detection scripts, and fine-tuning configurations are publicly available to enable independent auditability.</w:t>
      </w:r>
    </w:p>
    <w:p>
      <w:pPr>
        <w:spacing w:after="40" w:before="100" w:line="240" w:lineRule="auto"/>
        <w:jc w:val="left"/>
      </w:pPr>
      <w:r>
        <w:rPr>
          <w:rFonts w:ascii="Times New Roman" w:hAnsi="Times New Roman"/>
          <w:b w:val="0"/>
          <w:i/>
          <w:sz w:val="20"/>
        </w:rPr>
        <w:t>B.  Verified Citation Supervision</w:t>
      </w:r>
    </w:p>
    <w:p>
      <w:pPr>
        <w:spacing w:after="80" w:before="0" w:line="240" w:lineRule="auto"/>
        <w:ind w:firstLine="259"/>
        <w:jc w:val="both"/>
      </w:pPr>
      <w:r>
        <w:rPr>
          <w:rFonts w:ascii="Times New Roman" w:hAnsi="Times New Roman"/>
          <w:b w:val="0"/>
          <w:i w:val="0"/>
          <w:sz w:val="20"/>
        </w:rPr>
        <w:t>Fine-tuning a retriever requires query/passage supervision, which does not exist for most of this jurisdiction. We derive it from 11,195 Pakistani legal Q&amp;A pairs with machine-parseable citations (e.g. PPC s.467, CONST art.203F). The citation is what we use: it is checkable; the LLM-generated answer is not. Nothing from this source is indexed.</w:t>
      </w:r>
    </w:p>
    <w:p>
      <w:pPr>
        <w:spacing w:after="80" w:before="0" w:line="240" w:lineRule="auto"/>
        <w:ind w:firstLine="259"/>
        <w:jc w:val="both"/>
      </w:pPr>
      <w:r>
        <w:rPr>
          <w:rFonts w:ascii="Times New Roman" w:hAnsi="Times New Roman"/>
          <w:b w:val="0"/>
          <w:i w:val="0"/>
          <w:sz w:val="20"/>
        </w:rPr>
        <w:t>Four sequential filters are applied. (1) LEGAL-UQA rows dropped (911), since that dataset provides our evaluation set. (2) Citations naming an unindexed section dropped (720). (3) Citations validated by rarity-weighted vocabulary overlap with the answer; wrong citations dropped (203). (4) Duplicates removed. 5,883 pairs survive (52.6 %), partitioned by an 80/20 split into 4,692 training pairs for the general model and 1,191 held-out evaluation pairs; 32 % pair Urdu-script queries with English statute, the code-switched case for which no training data previously existed. Validation also caught a corpus defect: 164 constitutional Schedule paragraphs had been indexed as Articles 1–8 (fundamental rights and high-treason provision).</w:t>
      </w:r>
    </w:p>
    <w:p>
      <w:pPr>
        <w:spacing w:after="40" w:before="120" w:line="240" w:lineRule="auto"/>
        <w:jc w:val="center"/>
      </w:pPr>
      <w:r>
        <w:rPr>
          <w:rFonts w:ascii="Times New Roman" w:hAnsi="Times New Roman"/>
          <w:b/>
          <w:i w:val="0"/>
          <w:sz w:val="16"/>
        </w:rPr>
        <w:t>TABLE I.  TRAINING DATA AND DATASET PARTITIONING: WHAT DIFFERS BETWEEN THE TWO MODELS</w:t>
      </w:r>
    </w:p>
    <w:tbl>
      <w:tblPr>
        <w:tblW w:type="auto" w:w="0"/>
        <w:tblLayout w:type="fixed"/>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3480"/>
        <w:gridCol w:w="3480"/>
        <w:gridCol w:w="3480"/>
      </w:tblGrid>
      <w:tr>
        <w:tc>
          <w:tcPr>
            <w:tcW w:type="dxa" w:w="1872"/>
          </w:tcPr>
          <w:p>
            <w:pPr>
              <w:spacing w:after="20" w:before="20"/>
              <w:jc w:val="center"/>
            </w:pPr>
            <w:r>
              <w:rPr>
                <w:rFonts w:ascii="Times New Roman" w:hAnsi="Times New Roman"/>
                <w:b/>
                <w:sz w:val="16"/>
              </w:rPr>
              <w:t>Property</w:t>
            </w:r>
          </w:p>
        </w:tc>
        <w:tc>
          <w:tcPr>
            <w:tcW w:type="dxa" w:w="1440"/>
          </w:tcPr>
          <w:p>
            <w:pPr>
              <w:spacing w:after="20" w:before="20"/>
              <w:jc w:val="center"/>
            </w:pPr>
            <w:r>
              <w:rPr>
                <w:rFonts w:ascii="Times New Roman" w:hAnsi="Times New Roman"/>
                <w:b/>
                <w:sz w:val="16"/>
              </w:rPr>
              <w:t>Constitutional model</w:t>
            </w:r>
          </w:p>
        </w:tc>
        <w:tc>
          <w:tcPr>
            <w:tcW w:type="dxa" w:w="1440"/>
          </w:tcPr>
          <w:p>
            <w:pPr>
              <w:spacing w:after="20" w:before="20"/>
              <w:jc w:val="center"/>
            </w:pPr>
            <w:r>
              <w:rPr>
                <w:rFonts w:ascii="Times New Roman" w:hAnsi="Times New Roman"/>
                <w:b/>
                <w:sz w:val="16"/>
              </w:rPr>
              <w:t>General model</w:t>
            </w:r>
          </w:p>
        </w:tc>
      </w:tr>
      <w:tr>
        <w:tc>
          <w:tcPr>
            <w:tcW w:type="dxa" w:w="1872"/>
          </w:tcPr>
          <w:p>
            <w:pPr>
              <w:spacing w:after="20" w:before="20"/>
              <w:jc w:val="center"/>
            </w:pPr>
            <w:r>
              <w:rPr>
                <w:rFonts w:ascii="Times New Roman" w:hAnsi="Times New Roman"/>
                <w:sz w:val="16"/>
              </w:rPr>
              <w:t>Training pairs</w:t>
            </w:r>
          </w:p>
        </w:tc>
        <w:tc>
          <w:tcPr>
            <w:tcW w:type="dxa" w:w="1440"/>
          </w:tcPr>
          <w:p>
            <w:pPr>
              <w:spacing w:after="20" w:before="20"/>
              <w:jc w:val="center"/>
            </w:pPr>
            <w:r>
              <w:rPr>
                <w:rFonts w:ascii="Times New Roman" w:hAnsi="Times New Roman"/>
                <w:sz w:val="16"/>
              </w:rPr>
              <w:t>471</w:t>
            </w:r>
          </w:p>
        </w:tc>
        <w:tc>
          <w:tcPr>
            <w:tcW w:type="dxa" w:w="1440"/>
          </w:tcPr>
          <w:p>
            <w:pPr>
              <w:spacing w:after="20" w:before="20"/>
              <w:jc w:val="center"/>
            </w:pPr>
            <w:r>
              <w:rPr>
                <w:rFonts w:ascii="Times New Roman" w:hAnsi="Times New Roman"/>
                <w:sz w:val="16"/>
              </w:rPr>
              <w:t>4,692</w:t>
            </w:r>
          </w:p>
        </w:tc>
      </w:tr>
      <w:tr>
        <w:tc>
          <w:tcPr>
            <w:tcW w:type="dxa" w:w="1872"/>
          </w:tcPr>
          <w:p>
            <w:pPr>
              <w:spacing w:after="20" w:before="20"/>
              <w:jc w:val="center"/>
            </w:pPr>
            <w:r>
              <w:rPr>
                <w:rFonts w:ascii="Times New Roman" w:hAnsi="Times New Roman"/>
                <w:sz w:val="16"/>
              </w:rPr>
              <w:t>Held-out pairs</w:t>
            </w:r>
          </w:p>
        </w:tc>
        <w:tc>
          <w:tcPr>
            <w:tcW w:type="dxa" w:w="1440"/>
          </w:tcPr>
          <w:p>
            <w:pPr>
              <w:spacing w:after="20" w:before="20"/>
              <w:jc w:val="center"/>
            </w:pPr>
            <w:r>
              <w:rPr>
                <w:rFonts w:ascii="Times New Roman" w:hAnsi="Times New Roman"/>
                <w:sz w:val="16"/>
              </w:rPr>
              <w:t>121 (22 clean)</w:t>
            </w:r>
          </w:p>
        </w:tc>
        <w:tc>
          <w:tcPr>
            <w:tcW w:type="dxa" w:w="1440"/>
          </w:tcPr>
          <w:p>
            <w:pPr>
              <w:spacing w:after="20" w:before="20"/>
              <w:jc w:val="center"/>
            </w:pPr>
            <w:r>
              <w:rPr>
                <w:rFonts w:ascii="Times New Roman" w:hAnsi="Times New Roman"/>
                <w:sz w:val="16"/>
              </w:rPr>
              <w:t>1,191</w:t>
            </w:r>
          </w:p>
        </w:tc>
      </w:tr>
      <w:tr>
        <w:tc>
          <w:tcPr>
            <w:tcW w:type="dxa" w:w="1872"/>
          </w:tcPr>
          <w:p>
            <w:pPr>
              <w:spacing w:after="20" w:before="20"/>
              <w:jc w:val="center"/>
            </w:pPr>
            <w:r>
              <w:rPr>
                <w:rFonts w:ascii="Times New Roman" w:hAnsi="Times New Roman"/>
                <w:sz w:val="16"/>
              </w:rPr>
              <w:t>Legal domains</w:t>
            </w:r>
          </w:p>
        </w:tc>
        <w:tc>
          <w:tcPr>
            <w:tcW w:type="dxa" w:w="1440"/>
          </w:tcPr>
          <w:p>
            <w:pPr>
              <w:spacing w:after="20" w:before="20"/>
              <w:jc w:val="center"/>
            </w:pPr>
            <w:r>
              <w:rPr>
                <w:rFonts w:ascii="Times New Roman" w:hAnsi="Times New Roman"/>
                <w:sz w:val="16"/>
              </w:rPr>
              <w:t>1</w:t>
            </w:r>
          </w:p>
        </w:tc>
        <w:tc>
          <w:tcPr>
            <w:tcW w:type="dxa" w:w="1440"/>
          </w:tcPr>
          <w:p>
            <w:pPr>
              <w:spacing w:after="20" w:before="20"/>
              <w:jc w:val="center"/>
            </w:pPr>
            <w:r>
              <w:rPr>
                <w:rFonts w:ascii="Times New Roman" w:hAnsi="Times New Roman"/>
                <w:sz w:val="16"/>
              </w:rPr>
              <w:t>5</w:t>
            </w:r>
          </w:p>
        </w:tc>
      </w:tr>
      <w:tr>
        <w:tc>
          <w:tcPr>
            <w:tcW w:type="dxa" w:w="1872"/>
          </w:tcPr>
          <w:p>
            <w:pPr>
              <w:spacing w:after="20" w:before="20"/>
              <w:jc w:val="center"/>
            </w:pPr>
            <w:r>
              <w:rPr>
                <w:rFonts w:ascii="Times New Roman" w:hAnsi="Times New Roman"/>
                <w:sz w:val="16"/>
              </w:rPr>
              <w:t>Urdu-script queries</w:t>
            </w:r>
          </w:p>
        </w:tc>
        <w:tc>
          <w:tcPr>
            <w:tcW w:type="dxa" w:w="1440"/>
          </w:tcPr>
          <w:p>
            <w:pPr>
              <w:spacing w:after="20" w:before="20"/>
              <w:jc w:val="center"/>
            </w:pPr>
            <w:r>
              <w:rPr>
                <w:rFonts w:ascii="Times New Roman" w:hAnsi="Times New Roman"/>
                <w:sz w:val="16"/>
              </w:rPr>
              <w:t>0%</w:t>
            </w:r>
          </w:p>
        </w:tc>
        <w:tc>
          <w:tcPr>
            <w:tcW w:type="dxa" w:w="1440"/>
          </w:tcPr>
          <w:p>
            <w:pPr>
              <w:spacing w:after="20" w:before="20"/>
              <w:jc w:val="center"/>
            </w:pPr>
            <w:r>
              <w:rPr>
                <w:rFonts w:ascii="Times New Roman" w:hAnsi="Times New Roman"/>
                <w:sz w:val="16"/>
              </w:rPr>
              <w:t>32%</w:t>
            </w:r>
          </w:p>
        </w:tc>
      </w:tr>
      <w:tr>
        <w:tc>
          <w:tcPr>
            <w:tcW w:type="dxa" w:w="1872"/>
          </w:tcPr>
          <w:p>
            <w:pPr>
              <w:spacing w:after="20" w:before="20"/>
              <w:jc w:val="center"/>
            </w:pPr>
            <w:r>
              <w:rPr>
                <w:rFonts w:ascii="Times New Roman" w:hAnsi="Times New Roman"/>
                <w:sz w:val="16"/>
              </w:rPr>
              <w:t>Source dataset</w:t>
            </w:r>
          </w:p>
        </w:tc>
        <w:tc>
          <w:tcPr>
            <w:tcW w:type="dxa" w:w="1440"/>
          </w:tcPr>
          <w:p>
            <w:pPr>
              <w:spacing w:after="20" w:before="20"/>
              <w:jc w:val="center"/>
            </w:pPr>
            <w:r>
              <w:rPr>
                <w:rFonts w:ascii="Times New Roman" w:hAnsi="Times New Roman"/>
                <w:sz w:val="16"/>
              </w:rPr>
              <w:t>LEGAL-UQA [18]</w:t>
            </w:r>
          </w:p>
        </w:tc>
        <w:tc>
          <w:tcPr>
            <w:tcW w:type="dxa" w:w="1440"/>
          </w:tcPr>
          <w:p>
            <w:pPr>
              <w:spacing w:after="20" w:before="20"/>
              <w:jc w:val="center"/>
            </w:pPr>
            <w:r>
              <w:rPr>
                <w:rFonts w:ascii="Times New Roman" w:hAnsi="Times New Roman"/>
                <w:sz w:val="16"/>
              </w:rPr>
              <w:t>Verified citation corpus</w:t>
            </w:r>
          </w:p>
        </w:tc>
      </w:tr>
    </w:tbl>
    <w:p>
      <w:pPr>
        <w:spacing w:after="40" w:before="0" w:line="240" w:lineRule="auto"/>
        <w:jc w:val="both"/>
      </w:pPr>
    </w:p>
    <w:p>
      <w:pPr>
        <w:spacing w:after="80" w:before="0" w:line="240" w:lineRule="auto"/>
        <w:jc w:val="both"/>
      </w:pPr>
      <w:r>
        <w:rPr>
          <w:rFonts w:ascii="Times New Roman" w:hAnsi="Times New Roman"/>
          <w:b w:val="0"/>
          <w:i w:val="0"/>
          <w:sz w:val="20"/>
        </w:rPr>
        <w:t>Note on dataset partitioning: The general retriever is fine-tuned on 4,692 verified citation pairs (from an 80/20 split of 5,883 total pairs, leaving 1,191 held-out test pairs). In contrast, the secondary constitutional model is fine-tuned on 471 LEGAL-UQA pairs (from an 80/20 split of 592 total constitutional pairs, leaving 121 candidate held-out test pairs). Of these 121 candidate test pairs, 99 exhibited target passage overlap with training positives; filtering this target leakage yields exactly 22 clean, strictly unseen evaluation questions for the constitutional model.</w:t>
      </w:r>
    </w:p>
    <w:p>
      <w:pPr>
        <w:spacing w:after="60" w:before="160" w:line="240" w:lineRule="auto"/>
        <w:jc w:val="center"/>
      </w:pPr>
      <w:r>
        <w:rPr>
          <w:rFonts w:ascii="Times New Roman" w:hAnsi="Times New Roman"/>
          <w:b/>
          <w:i w:val="0"/>
          <w:sz w:val="20"/>
        </w:rPr>
        <w:t>IV.  EVALUATION PROTOCOL</w:t>
      </w:r>
    </w:p>
    <w:p>
      <w:pPr>
        <w:spacing w:after="80" w:before="0" w:line="240" w:lineRule="auto"/>
        <w:ind w:firstLine="259"/>
        <w:jc w:val="both"/>
      </w:pPr>
      <w:r>
        <w:rPr>
          <w:rFonts w:ascii="Times New Roman" w:hAnsi="Times New Roman"/>
          <w:b w:val="0"/>
          <w:i w:val="0"/>
          <w:sz w:val="20"/>
        </w:rPr>
        <w:t>Rather than authoring question–answer pairs, we label recorded traffic. Judgements are pooled to a fixed depth, stored with it, and metrics below the pool depth are refused as unjudged rather than counted irrelevant. Each turn carries one of four verdicts: correct, incorrect, correct refusal, wrong refusal.</w:t>
      </w:r>
    </w:p>
    <w:p>
      <w:pPr>
        <w:spacing w:after="80" w:before="0" w:line="240" w:lineRule="auto"/>
        <w:ind w:firstLine="259"/>
        <w:jc w:val="both"/>
      </w:pPr>
      <w:r>
        <w:rPr>
          <w:rFonts w:ascii="Times New Roman" w:hAnsi="Times New Roman"/>
          <w:b w:val="0"/>
          <w:i w:val="0"/>
          <w:sz w:val="20"/>
        </w:rPr>
        <w:t xml:space="preserve">Two models are trained independently (constitutional and general, Table I), both fine-tuning multilingual-e5-base in the Sentence-BERT bi-encoder architecture </w:t>
      </w:r>
      <w:hyperlink w:anchor="ref_19">
        <w:r>
          <w:rPr>
            <w:color w:val="000000"/>
            <w:u w:val="none"/>
            <w:rFonts w:ascii="Times New Roman" w:hAnsi="Times New Roman"/>
            <w:sz w:val="20"/>
          </w:rPr>
          <w:t xml:space="preserve">[19]</w:t>
        </w:r>
      </w:hyperlink>
      <w:r>
        <w:rPr>
          <w:rFonts w:ascii="Times New Roman" w:hAnsi="Times New Roman"/>
          <w:b w:val="0"/>
          <w:i w:val="0"/>
          <w:sz w:val="20"/>
        </w:rPr>
        <w:t xml:space="preserve"> with multiple-negatives ranking loss </w:t>
      </w:r>
      <w:hyperlink w:anchor="ref_20">
        <w:r>
          <w:rPr>
            <w:color w:val="000000"/>
            <w:u w:val="none"/>
            <w:rFonts w:ascii="Times New Roman" w:hAnsi="Times New Roman"/>
            <w:sz w:val="20"/>
          </w:rPr>
          <w:t xml:space="preserve">[20]</w:t>
        </w:r>
      </w:hyperlink>
      <w:r>
        <w:rPr>
          <w:rFonts w:ascii="Times New Roman" w:hAnsi="Times New Roman"/>
          <w:b w:val="0"/>
          <w:i w:val="0"/>
          <w:sz w:val="20"/>
        </w:rPr>
        <w:t xml:space="preserve">, hard negatives mined from the deployed retriever, two epochs, batch 12, lr = 2 × 10⁻⁵, max-length 224. Train/test splits by connected components over shared gold chunks ensure no gold chunk appears in both halves. Significance by McNemar’s test </w:t>
      </w:r>
      <w:hyperlink w:anchor="ref_21">
        <w:r>
          <w:rPr>
            <w:color w:val="000000"/>
            <w:u w:val="none"/>
            <w:rFonts w:ascii="Times New Roman" w:hAnsi="Times New Roman"/>
            <w:sz w:val="20"/>
          </w:rPr>
          <w:t xml:space="preserve">[21]</w:t>
        </w:r>
      </w:hyperlink>
      <w:r>
        <w:rPr>
          <w:rFonts w:ascii="Times New Roman" w:hAnsi="Times New Roman"/>
          <w:b w:val="0"/>
          <w:i w:val="0"/>
          <w:sz w:val="20"/>
        </w:rPr>
        <w:t xml:space="preserve"> paired over Q.</w:t>
      </w:r>
    </w:p>
    <w:p>
      <w:pPr>
        <w:spacing w:after="80" w:before="0" w:line="240" w:lineRule="auto"/>
        <w:ind w:firstLine="259"/>
        <w:jc w:val="both"/>
      </w:pPr>
      <w:r>
        <w:rPr>
          <w:rFonts w:ascii="Times New Roman" w:hAnsi="Times New Roman"/>
          <w:b w:val="0"/>
          <w:i w:val="0"/>
          <w:sz w:val="20"/>
        </w:rPr>
        <w:t xml:space="preserve">Retrieval is reported by Hit@k, mean reciprocal rank (MRR), and nDCG@k </w:t>
      </w:r>
      <w:hyperlink w:anchor="ref_22">
        <w:r>
          <w:rPr>
            <w:color w:val="000000"/>
            <w:u w:val="none"/>
            <w:rFonts w:ascii="Times New Roman" w:hAnsi="Times New Roman"/>
            <w:sz w:val="20"/>
          </w:rPr>
          <w:t xml:space="preserve">[22]</w:t>
        </w:r>
      </w:hyperlink>
      <w:r>
        <w:rPr>
          <w:rFonts w:ascii="Times New Roman" w:hAnsi="Times New Roman"/>
          <w:b w:val="0"/>
          <w:i w:val="0"/>
          <w:sz w:val="20"/>
        </w:rPr>
        <w:t xml:space="preserve"> at cut-offs within the pooling depth:</w:t>
      </w:r>
    </w:p>
    <w:p>
      <w:pPr>
        <w:spacing w:after="100" w:before="40" w:line="240" w:lineRule="auto"/>
        <w:jc w:val="center"/>
      </w:pPr>
      <w:r>
        <w:rPr>
          <w:rFonts w:ascii="Cambria Math" w:hAnsi="Cambria Math"/>
          <w:i/>
          <w:sz w:val="20"/>
        </w:rPr>
        <w:t>Hit@k  =  (1 / |Q|) · Σₚ  1[rank(q) ≤ k]</w:t>
      </w:r>
      <w:r>
        <w:rPr>
          <w:rFonts w:ascii="Times New Roman" w:hAnsi="Times New Roman"/>
          <w:i w:val="0"/>
          <w:sz w:val="20"/>
        </w:rPr>
        <w:t xml:space="preserve">   (1)</w:t>
      </w:r>
    </w:p>
    <w:p>
      <w:pPr>
        <w:spacing w:after="100" w:before="40" w:line="240" w:lineRule="auto"/>
        <w:jc w:val="center"/>
      </w:pPr>
      <w:r>
        <w:rPr>
          <w:rFonts w:ascii="Cambria Math" w:hAnsi="Cambria Math"/>
          <w:i/>
          <w:sz w:val="20"/>
        </w:rPr>
        <w:t>MRR    =  (1 / |Q|) · Σₚ  1 / rank(q)</w:t>
      </w:r>
      <w:r>
        <w:rPr>
          <w:rFonts w:ascii="Times New Roman" w:hAnsi="Times New Roman"/>
          <w:i w:val="0"/>
          <w:sz w:val="20"/>
        </w:rPr>
        <w:t xml:space="preserve">   (2)</w:t>
      </w:r>
    </w:p>
    <w:p>
      <w:pPr>
        <w:spacing w:after="100" w:before="40" w:line="240" w:lineRule="auto"/>
        <w:jc w:val="center"/>
      </w:pPr>
      <w:r>
        <w:rPr>
          <w:rFonts w:ascii="Cambria Math" w:hAnsi="Cambria Math"/>
          <w:i/>
          <w:sz w:val="20"/>
        </w:rPr>
        <w:t>nDCG@k =  (1 / |Q|) · Σₚ  DCG(q) / IDCG(q)</w:t>
      </w:r>
      <w:r>
        <w:rPr>
          <w:rFonts w:ascii="Times New Roman" w:hAnsi="Times New Roman"/>
          <w:i w:val="0"/>
          <w:sz w:val="20"/>
        </w:rPr>
        <w:t xml:space="preserve">   (3)</w:t>
      </w:r>
    </w:p>
    <w:p>
      <w:pPr>
        <w:spacing w:after="80" w:before="0" w:line="240" w:lineRule="auto"/>
        <w:jc w:val="both"/>
      </w:pPr>
      <w:r>
        <w:rPr>
          <w:rFonts w:ascii="Times New Roman" w:hAnsi="Times New Roman"/>
          <w:b w:val="0"/>
          <w:i w:val="0"/>
          <w:sz w:val="20"/>
        </w:rPr>
        <w:t>where IDCG(q) = Σᵢ 1/log₂(i+1) summed over i = 1…min(|G(q)|, k). We state the ideal-DCG denominator explicitly because a fixed denominator of 1 (correct only when |G(q)| = 1) silently deflates nDCG on multi-gold queries, a defect we found in one of our own scripts.</w:t>
      </w:r>
    </w:p>
    <w:p>
      <w:pPr>
        <w:spacing w:after="60" w:before="160" w:line="240" w:lineRule="auto"/>
        <w:jc w:val="center"/>
      </w:pPr>
      <w:r>
        <w:rPr>
          <w:rFonts w:ascii="Times New Roman" w:hAnsi="Times New Roman"/>
          <w:b/>
          <w:i w:val="0"/>
          <w:sz w:val="20"/>
        </w:rPr>
        <w:t>V.  RESULTS</w:t>
      </w:r>
    </w:p>
    <w:p>
      <w:pPr>
        <w:spacing w:after="80" w:before="0" w:line="240" w:lineRule="auto"/>
        <w:ind w:firstLine="259"/>
        <w:jc w:val="both"/>
      </w:pPr>
      <w:r>
        <w:rPr>
          <w:rFonts w:ascii="Times New Roman" w:hAnsi="Times New Roman"/>
          <w:b w:val="0"/>
          <w:i w:val="0"/>
          <w:sz w:val="20"/>
        </w:rPr>
        <w:t>Three of the four collections changed materially during this work, for reasons the evaluation surfaced rather than planned: the constitutional collection was rebuilt after 67 % of it proved to be generated text (Section V-C), the Code of Civil Procedure 1908 was absent entirely, and family law grew from 193 to 989 chunks once 20 statutes in the fetch manifest were actually downloaded. Corpus defects, not model capacity, produced the largest improvements.</w:t>
      </w:r>
    </w:p>
    <w:p>
      <w:pPr>
        <w:spacing w:after="40" w:before="100" w:line="240" w:lineRule="auto"/>
        <w:jc w:val="left"/>
      </w:pPr>
      <w:r>
        <w:rPr>
          <w:rFonts w:ascii="Times New Roman" w:hAnsi="Times New Roman"/>
          <w:b w:val="0"/>
          <w:i/>
          <w:sz w:val="20"/>
        </w:rPr>
        <w:t>A.  Cross-Encoder Reranking: A Negative Result</w:t>
      </w:r>
    </w:p>
    <w:p>
      <w:pPr>
        <w:spacing w:after="80" w:before="0" w:line="240" w:lineRule="auto"/>
        <w:ind w:firstLine="259"/>
        <w:jc w:val="both"/>
      </w:pPr>
      <w:r>
        <w:rPr>
          <w:rFonts w:ascii="Times New Roman" w:hAnsi="Times New Roman"/>
          <w:b w:val="0"/>
          <w:i w:val="0"/>
          <w:sz w:val="20"/>
        </w:rPr>
        <w:t xml:space="preserve">Cross-encoder reranking </w:t>
      </w:r>
      <w:hyperlink w:anchor="ref_23">
        <w:r>
          <w:rPr>
            <w:color w:val="000000"/>
            <w:u w:val="none"/>
            <w:rFonts w:ascii="Times New Roman" w:hAnsi="Times New Roman"/>
            <w:sz w:val="20"/>
          </w:rPr>
          <w:t xml:space="preserve">[23]</w:t>
        </w:r>
      </w:hyperlink>
      <w:r>
        <w:rPr>
          <w:rFonts w:ascii="Times New Roman" w:hAnsi="Times New Roman"/>
          <w:b w:val="0"/>
          <w:i w:val="0"/>
          <w:sz w:val="20"/>
        </w:rPr>
        <w:t xml:space="preserve"> is the standard remedy for a correct statute retrieved but ranked below a competitor. The decisive case: whether a tenant may be evicted without notice in Punjab, where the correct instrument is the Punjab Rented Premises Act 2009 (urban rental) and the competitor the Punjab Tenancy Act 1887 (agricultural tenancy). Both concern tenants and eviction; the ambiguity is statutory scope, not vocabulary.</w:t>
      </w:r>
    </w:p>
    <w:p>
      <w:pPr>
        <w:spacing w:after="80" w:before="0" w:line="240" w:lineRule="auto"/>
        <w:ind w:firstLine="259"/>
        <w:jc w:val="both"/>
      </w:pPr>
      <w:r>
        <w:rPr>
          <w:rFonts w:ascii="Times New Roman" w:hAnsi="Times New Roman"/>
          <w:b w:val="0"/>
          <w:i w:val="0"/>
          <w:sz w:val="20"/>
        </w:rPr>
        <w:t xml:space="preserve">The cross-encoder does not merely fail to help; it moves the correct statute away from the top, promoting the agricultural statute at both retrieval depths (Fig. 2). Degradation growing with pool size is the signature of a scoring function ordered systematically against the target. The off-the-shelf MS-MARCO model has no representation of which instrument governs </w:t>
      </w:r>
      <w:hyperlink w:anchor="ref_24">
        <w:r>
          <w:rPr>
            <w:color w:val="000000"/>
            <w:u w:val="none"/>
            <w:rFonts w:ascii="Times New Roman" w:hAnsi="Times New Roman"/>
            <w:sz w:val="20"/>
          </w:rPr>
          <w:t xml:space="preserve">[24]</w:t>
        </w:r>
      </w:hyperlink>
      <w:r>
        <w:rPr>
          <w:rFonts w:ascii="Times New Roman" w:hAnsi="Times New Roman"/>
          <w:b w:val="0"/>
          <w:i w:val="0"/>
          <w:sz w:val="20"/>
        </w:rPr>
        <w:t>; a deterministic statutory-scope rule placed the correct statute first in under a millisecond.</w:t>
      </w:r>
    </w:p>
    <w:p>
      <w:pPr>
        <w:spacing w:after="80" w:before="0" w:line="240" w:lineRule="auto"/>
        <w:ind w:firstLine="259"/>
        <w:jc w:val="both"/>
      </w:pPr>
      <w:r>
        <w:rPr>
          <w:rFonts w:ascii="Times New Roman" w:hAnsi="Times New Roman"/>
          <w:b w:val="0"/>
          <w:i w:val="0"/>
          <w:sz w:val="20"/>
        </w:rPr>
        <w:t>Reporting this as a uniform failure would overstate it. Across six queries the reranker improved three (the khula target from rank 8 to 4, an FIR-registration query from rank 2 to 1, a theft query from rank 3 to 1), left two unchanged, and badly worsened one, but the one it worsens is the case that motivated it, and those it improves were already nearly correct. It sharpens rankings that did not need sharpening while inverting the one that did.</w:t>
      </w:r>
    </w:p>
    <w:p>
      <w:pPr>
        <w:spacing w:after="80" w:before="0" w:line="240" w:lineRule="auto"/>
        <w:ind w:firstLine="259"/>
        <w:jc w:val="both"/>
      </w:pPr>
      <w:r>
        <w:rPr>
          <w:rFonts w:ascii="Times New Roman" w:hAnsi="Times New Roman"/>
          <w:b w:val="0"/>
          <w:i w:val="0"/>
          <w:sz w:val="20"/>
        </w:rPr>
        <w:t xml:space="preserve">We attribute this to train/test domain mismatch rather than model capacity. The MS-MARCO checkpoint scores topical overlap between a question and a web passage; the distinction here (whether tenant means a cultivator under an 1887 revenue statute or an occupant of urban premises under a 2009 one) is one of legislative scope. Prior work reports the same direction of effect in U.S. legal case retrieval </w:t>
      </w:r>
      <w:hyperlink w:anchor="ref_24">
        <w:r>
          <w:rPr>
            <w:color w:val="000000"/>
            <w:u w:val="none"/>
            <w:rFonts w:ascii="Times New Roman" w:hAnsi="Times New Roman"/>
            <w:sz w:val="20"/>
          </w:rPr>
          <w:t xml:space="preserve">[24]</w:t>
        </w:r>
      </w:hyperlink>
      <w:r>
        <w:rPr>
          <w:rFonts w:ascii="Times New Roman" w:hAnsi="Times New Roman"/>
          <w:b w:val="0"/>
          <w:i w:val="0"/>
          <w:sz w:val="20"/>
        </w:rPr>
        <w:t>; that this reproduces on statutory retrieval in a different jurisdiction and script indicates that these failure modes are not specific to a single model configuration. Widening first-stage retrieval from 10 to 50 candidates was reverted alongside the cross-encoder: without an effective reranker, additional depth is additional noise.</w:t>
      </w:r>
    </w:p>
    <w:p>
      <w:pPr>
        <w:spacing w:after="40" w:before="80" w:line="240" w:lineRule="auto"/>
        <w:jc w:val="center"/>
      </w:pPr>
      <w:r>
        <w:drawing>
          <wp:inline xmlns:a="http://schemas.openxmlformats.org/drawingml/2006/main" xmlns:pic="http://schemas.openxmlformats.org/drawingml/2006/picture">
            <wp:extent cx="2926994" cy="1800377"/>
            <wp:docPr id="2" name="Picture 2"/>
            <wp:cNvGraphicFramePr>
              <a:graphicFrameLocks noChangeAspect="1"/>
            </wp:cNvGraphicFramePr>
            <a:graphic>
              <a:graphicData uri="http://schemas.openxmlformats.org/drawingml/2006/picture">
                <pic:pic>
                  <pic:nvPicPr>
                    <pic:cNvPr id="0" name="fig3_rerank.png"/>
                    <pic:cNvPicPr/>
                  </pic:nvPicPr>
                  <pic:blipFill>
                    <a:blip r:embed="rId12"/>
                    <a:stretch>
                      <a:fillRect/>
                    </a:stretch>
                  </pic:blipFill>
                  <pic:spPr>
                    <a:xfrm>
                      <a:off x="0" y="0"/>
                      <a:ext cx="2926994" cy="1800377"/>
                    </a:xfrm>
                    <a:prstGeom prst="rect"/>
                  </pic:spPr>
                </pic:pic>
              </a:graphicData>
            </a:graphic>
          </wp:inline>
        </w:drawing>
      </w:r>
    </w:p>
    <w:p>
      <w:pPr>
        <w:spacing w:after="120" w:before="0" w:line="240" w:lineRule="auto"/>
        <w:jc w:val="center"/>
      </w:pPr>
      <w:r>
        <w:rPr>
          <w:rFonts w:ascii="Times New Roman" w:hAnsi="Times New Roman"/>
          <w:b w:val="0"/>
          <w:i w:val="0"/>
          <w:sz w:val="16"/>
        </w:rPr>
        <w:t>Fig. 2. Rank of the correct statute (Punjab Rented Premises Act 2009) after each pipeline stage at both retrieval depths. Lower is better. The cross-encoder demotes it and grows worse as pool widens; the deterministic rule places it first.</w:t>
      </w:r>
    </w:p>
    <w:p>
      <w:pPr>
        <w:spacing w:after="40" w:before="100" w:line="240" w:lineRule="auto"/>
        <w:jc w:val="left"/>
      </w:pPr>
      <w:r>
        <w:rPr>
          <w:rFonts w:ascii="Times New Roman" w:hAnsi="Times New Roman"/>
          <w:b w:val="0"/>
          <w:i/>
          <w:sz w:val="20"/>
        </w:rPr>
        <w:t>B.  Domain Fine-Tuning: Gains That Do Not Transfer</w:t>
      </w:r>
    </w:p>
    <w:p>
      <w:pPr>
        <w:spacing w:after="80" w:before="0" w:line="240" w:lineRule="auto"/>
        <w:ind w:firstLine="259"/>
        <w:jc w:val="both"/>
      </w:pPr>
      <w:r>
        <w:rPr>
          <w:rFonts w:ascii="Times New Roman" w:hAnsi="Times New Roman"/>
          <w:b w:val="0"/>
          <w:i w:val="0"/>
          <w:sz w:val="20"/>
        </w:rPr>
        <w:t>Across the total corpus asset of 592 bilingual legal questions (LEGAL-UQA), initial dense ablation was evaluated on an in-distribution subset of 200 held-out constitutional questions (where dense Hit@50 reaches 89 % vs Hit@1 of 43.5 %, representing a 45-point ranking deficit). For cross-style generalisations, evaluating the general model (trained on 4,692 citation pairs) required filtering the 592-question set for target leakage, leaving 128 clean, unseen evaluation questions. Evaluating the constitutional model (trained on 471 LEGAL-UQA pairs) left 121 candidate questions (592 − 471 = 121), of which 99 shared gold target passages with training positives, leaving 22 clean unseen questions for the constitutional model. Fine-tuning was the remaining hypothesis.</w:t>
      </w:r>
    </w:p>
    <w:p>
      <w:pPr>
        <w:spacing w:after="80" w:before="0" w:line="240" w:lineRule="auto"/>
        <w:ind w:firstLine="259"/>
        <w:jc w:val="both"/>
      </w:pPr>
      <w:r>
        <w:rPr>
          <w:rFonts w:ascii="Times New Roman" w:hAnsi="Times New Roman"/>
          <w:b w:val="0"/>
          <w:i w:val="0"/>
          <w:sz w:val="20"/>
        </w:rPr>
        <w:t>Measured on its own held-out set of 1,191 citation pairs (distinct from the 592 LEGAL-UQA questions), the general model gains +26.5 Hit@1 (a 64 % relative improvement from 41.3 % to 67.8 %, p ≈ 0.0005, McNemar, with 531 improved, 123 worsened, and 537 unchanged). Across metrics, dense base scores 0.438 MRR and 0.482 nDCG@5; fine-tuning improves these in-distribution to 0.612 MRR (+0.174) and 0.648 nDCG@5 (+0.166), but collapses out-of-distribution to 0.445 MRR (+0.007) and 0.490 nDCG@5 (+0.008), confirming the collapse across all ranking metrics. On questions from a different generator, the same model gains +2.4 Hit@1, with 31 improved against 22 worsened, close to a coin flip.</w:t>
      </w:r>
    </w:p>
    <w:p>
      <w:pPr>
        <w:spacing w:after="80" w:before="0" w:line="240" w:lineRule="auto"/>
        <w:ind w:firstLine="259"/>
        <w:jc w:val="both"/>
      </w:pPr>
      <w:r>
        <w:rPr>
          <w:rFonts w:ascii="Times New Roman" w:hAnsi="Times New Roman"/>
          <w:b w:val="0"/>
          <w:i w:val="0"/>
          <w:sz w:val="20"/>
        </w:rPr>
        <w:t>The constitutional model exhibits the same transfer collapse from the opposite direction. Evaluated against its own generator on the full candidate set (121 questions), it initially showed an apparent +16.5 Hit@1 dense gain (and +6.6 under BM25 fusion). However, target-leakage analysis revealed that 99 of these 121 candidate questions shared gold target passages with training positives (memorisation). Removing these target-overlapping pairs left only 22 clean, unseen questions—a sample size too small (N = 22) to serve as an un-memorised in-distribution baseline. Consequently, while the flattering in-distribution metric (+16.5) is excluded from clean baseline comparisons due to memorisation bias, evaluating the constitutional model on the clean citation-style dataset (1,191 unseen test pairs, with zero overlap against its 471 training pairs) yields a gain of −0.3 Hit@1 (p = 0.814, statistically indistinguishable from zero), confirming the transfer collapse. Across ranking metrics, MRR and nDCG@5 follow the identical collapse pattern (in-distribution +0.112 MRR and +0.108 nDCG@5 collapsing to −0.002 MRR and −0.001 nDCG@5 out-of-distribution). Ten times the training data, five legal domains, and two scripts bought a larger in-distribution number (+26.5 vs +16.5) and essentially nothing out of it (+2.4 vs −0.3). The same qualitative failure pattern is observed across two independently trained models at a tenfold scale difference, although the second model’s clean in-distribution sample (N = 22) is too small for a three-way baseline comparison.</w:t>
      </w:r>
    </w:p>
    <w:p>
      <w:pPr>
        <w:spacing w:after="40" w:before="80" w:line="240" w:lineRule="auto"/>
        <w:jc w:val="center"/>
      </w:pPr>
      <w:r>
        <w:drawing>
          <wp:inline xmlns:a="http://schemas.openxmlformats.org/drawingml/2006/main" xmlns:pic="http://schemas.openxmlformats.org/drawingml/2006/picture">
            <wp:extent cx="2926994" cy="1832716"/>
            <wp:docPr id="3" name="Picture 3"/>
            <wp:cNvGraphicFramePr>
              <a:graphicFrameLocks noChangeAspect="1"/>
            </wp:cNvGraphicFramePr>
            <a:graphic>
              <a:graphicData uri="http://schemas.openxmlformats.org/drawingml/2006/picture">
                <pic:pic>
                  <pic:nvPicPr>
                    <pic:cNvPr id="0" name="fig4_transfer_collapse.png"/>
                    <pic:cNvPicPr/>
                  </pic:nvPicPr>
                  <pic:blipFill>
                    <a:blip r:embed="rId13"/>
                    <a:stretch>
                      <a:fillRect/>
                    </a:stretch>
                  </pic:blipFill>
                  <pic:spPr>
                    <a:xfrm>
                      <a:off x="0" y="0"/>
                      <a:ext cx="2926994" cy="1832716"/>
                    </a:xfrm>
                    <a:prstGeom prst="rect"/>
                  </pic:spPr>
                </pic:pic>
              </a:graphicData>
            </a:graphic>
          </wp:inline>
        </w:drawing>
      </w:r>
    </w:p>
    <w:p>
      <w:pPr>
        <w:spacing w:after="120" w:before="0" w:line="240" w:lineRule="auto"/>
        <w:jc w:val="center"/>
      </w:pPr>
      <w:r>
        <w:rPr>
          <w:rFonts w:ascii="Times New Roman" w:hAnsi="Times New Roman"/>
          <w:b w:val="0"/>
          <w:i w:val="0"/>
          <w:sz w:val="16"/>
        </w:rPr>
        <w:t>Fig. 3. Two retrievers fine-tuned independently on different sources at a tenfold scale difference each lose almost their entire gain when the question style changes. Left: in-distribution evaluation. Right: out-of-distribution. The constitutional model’s flattering in-distribution metric (+16.5) is excluded from clean baseline comparisons due to target-leakage memorisation (Section V-D), while its clean out-of-distribution performance (−0.3) remains.</w:t>
      </w:r>
    </w:p>
    <w:p>
      <w:pPr>
        <w:spacing w:after="40" w:before="100" w:line="240" w:lineRule="auto"/>
        <w:jc w:val="left"/>
      </w:pPr>
      <w:r>
        <w:rPr>
          <w:rFonts w:ascii="Times New Roman" w:hAnsi="Times New Roman"/>
          <w:b w:val="0"/>
          <w:i/>
          <w:sz w:val="20"/>
        </w:rPr>
        <w:t>C.  Fusion Absorbs Most of the Dense Gain</w:t>
      </w:r>
    </w:p>
    <w:p>
      <w:pPr>
        <w:spacing w:after="80" w:before="0" w:line="240" w:lineRule="auto"/>
        <w:ind w:firstLine="259"/>
        <w:jc w:val="both"/>
      </w:pPr>
      <w:r>
        <w:rPr>
          <w:rFonts w:ascii="Times New Roman" w:hAnsi="Times New Roman"/>
          <w:b w:val="0"/>
          <w:i w:val="0"/>
          <w:sz w:val="20"/>
        </w:rPr>
        <w:t>The deployed retriever fuses BM25 at 0.6 with dense at 0.4. The constitutional model’s +16.5 dense-only gain becomes +6.6 under fusion. The mechanism is visible in baselines: hybrid base scores 0.5207 against dense base 0.4380, so BM25 already supplied +8.3 points, overlapping with what fine-tuning teaches the dense channel. Fusion also repairs the characteristic regression: four queries that fell from rank 1 to absent under dense-only recover to rank 3 or better under fusion. Under dense-only all four were exact-citation lookups; under fusion the worst regression is rank 1 to rank 3. A system reporting only its dense ablation would overstate both the benefit and the harm.</w:t>
      </w:r>
    </w:p>
    <w:p>
      <w:pPr>
        <w:spacing w:after="40" w:before="100" w:line="240" w:lineRule="auto"/>
        <w:jc w:val="left"/>
      </w:pPr>
      <w:r>
        <w:rPr>
          <w:rFonts w:ascii="Times New Roman" w:hAnsi="Times New Roman"/>
          <w:b w:val="0"/>
          <w:i/>
          <w:sz w:val="20"/>
        </w:rPr>
        <w:t>D.  Three Contaminations, Detected and Removed</w:t>
      </w:r>
    </w:p>
    <w:p>
      <w:pPr>
        <w:spacing w:after="80" w:before="0" w:line="240" w:lineRule="auto"/>
        <w:ind w:firstLine="259"/>
        <w:jc w:val="both"/>
      </w:pPr>
      <w:r>
        <w:rPr>
          <w:rFonts w:ascii="Times New Roman" w:hAnsi="Times New Roman"/>
          <w:b w:val="0"/>
          <w:i w:val="0"/>
          <w:sz w:val="20"/>
        </w:rPr>
        <w:t>The fine-tuning results above were subjected to contamination checks that removed several earlier, better-looking numbers.</w:t>
      </w:r>
    </w:p>
    <w:p>
      <w:pPr>
        <w:spacing w:after="60" w:before="0" w:line="240" w:lineRule="auto"/>
        <w:ind w:firstLine="259"/>
        <w:jc w:val="both"/>
      </w:pPr>
      <w:r>
        <w:rPr>
          <w:rFonts w:ascii="Times New Roman" w:hAnsi="Times New Roman"/>
          <w:b/>
          <w:i w:val="0"/>
          <w:sz w:val="20"/>
        </w:rPr>
        <w:t xml:space="preserve">① Index contained test answers. </w:t>
      </w:r>
      <w:r>
        <w:rPr>
          <w:rFonts w:ascii="Times New Roman" w:hAnsi="Times New Roman"/>
          <w:b w:val="0"/>
          <w:i w:val="0"/>
          <w:sz w:val="20"/>
        </w:rPr>
        <w:t>The constitutional collection held 619 generated Q&amp;A pairs tagged as the Constitution; they contained each evaluation question verbatim and accounted for 81–100 % of retrieved chunks. Evaluating before removing them would have retrieved each question’s own answer at rank 1.</w:t>
      </w:r>
    </w:p>
    <w:p>
      <w:pPr>
        <w:spacing w:after="60" w:before="0" w:line="240" w:lineRule="auto"/>
        <w:ind w:firstLine="259"/>
        <w:jc w:val="both"/>
      </w:pPr>
      <w:r>
        <w:rPr>
          <w:rFonts w:ascii="Times New Roman" w:hAnsi="Times New Roman"/>
          <w:b/>
          <w:i w:val="0"/>
          <w:sz w:val="20"/>
        </w:rPr>
        <w:t xml:space="preserve">② Gold labels were systematically wrong (Evaluation Defect). </w:t>
      </w:r>
      <w:r>
        <w:rPr>
          <w:rFonts w:ascii="Times New Roman" w:hAnsi="Times New Roman"/>
          <w:b w:val="0"/>
          <w:i w:val="0"/>
          <w:sz w:val="20"/>
        </w:rPr>
        <w:t>Joining evaluation questions to gold passages by section heading produced an off-by-one: heading stubs extracted from the source PDF matched section headings, not the chunks holding their body text. Retrieval was returning the correct chunk and the corrupted evaluation script scored it a miss (yielding an artificially suppressed evaluation score of MRR 0.114, whereas the clean general baseline is MRR 0.438). Rebuilding the evaluation join on verbatim body n-grams corrected this evaluation defect, revealing the true ground-truth score of MRR 0.581 on the constitutional collection with zero change to the underlying retriever models.</w:t>
      </w:r>
    </w:p>
    <w:p>
      <w:pPr>
        <w:spacing w:after="60" w:before="0" w:line="240" w:lineRule="auto"/>
        <w:ind w:firstLine="259"/>
        <w:jc w:val="both"/>
      </w:pPr>
      <w:r>
        <w:rPr>
          <w:rFonts w:ascii="Times New Roman" w:hAnsi="Times New Roman"/>
          <w:b/>
          <w:i w:val="0"/>
          <w:sz w:val="20"/>
        </w:rPr>
        <w:t xml:space="preserve">③ Target leakage between train and test. </w:t>
      </w:r>
      <w:r>
        <w:rPr>
          <w:rFonts w:ascii="Times New Roman" w:hAnsi="Times New Roman"/>
          <w:b w:val="0"/>
          <w:i w:val="0"/>
          <w:sz w:val="20"/>
        </w:rPr>
        <w:t>Filtering the 592-question set for gold chunks that matched general-model training positives removed target leakage, leaving 128 clean evaluation questions for cross-style testing.</w:t>
      </w:r>
    </w:p>
    <w:p>
      <w:pPr>
        <w:spacing w:after="100" w:before="0" w:line="240" w:lineRule="auto"/>
        <w:ind w:firstLine="259"/>
        <w:jc w:val="both"/>
      </w:pPr>
      <w:r>
        <w:rPr>
          <w:rFonts w:ascii="Times New Roman" w:hAnsi="Times New Roman"/>
          <w:b/>
          <w:i w:val="0"/>
          <w:sz w:val="20"/>
        </w:rPr>
        <w:t xml:space="preserve">Evaluation Consequence of Dataset Overlap. </w:t>
      </w:r>
      <w:r>
        <w:rPr>
          <w:rFonts w:ascii="Times New Roman" w:hAnsi="Times New Roman"/>
          <w:b w:val="0"/>
          <w:i w:val="0"/>
          <w:sz w:val="20"/>
        </w:rPr>
        <w:t>For the constitutional model, 471 of the 592 questions were consumed during training, leaving 121 candidate questions (592 − 471 = 121). Of these 121 candidates, 99 shared gold target passages with training positives (its apparent 0.766 Hit@1 was memorisation of its training set), leaving only 22 clean unseen questions for the constitutional model, too few to support a three-way comparison. The flattering in-distribution metric is excluded from clean baseline comparisons, while the clean out-of-distribution columns are the ones we report.</w:t>
      </w:r>
    </w:p>
    <w:p>
      <w:pPr>
        <w:spacing w:after="40" w:before="120" w:line="240" w:lineRule="auto"/>
        <w:jc w:val="center"/>
      </w:pPr>
      <w:r>
        <w:rPr>
          <w:rFonts w:ascii="Times New Roman" w:hAnsi="Times New Roman"/>
          <w:b/>
          <w:i w:val="0"/>
          <w:sz w:val="16"/>
        </w:rPr>
        <w:t>TABLE II.  CONTAMINATION MECHANISMS, BASELINE CONTEXTS, AND EVALUATION CONSEQUENCES</w:t>
      </w:r>
    </w:p>
    <w:tbl>
      <w:tblPr>
        <w:tblW w:type="auto" w:w="0"/>
        <w:tblLayout w:type="fixed"/>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2610"/>
        <w:gridCol w:w="2610"/>
        <w:gridCol w:w="2610"/>
        <w:gridCol w:w="2610"/>
      </w:tblGrid>
      <w:tr>
        <w:tc>
          <w:tcPr>
            <w:tcW w:type="dxa" w:w="1944"/>
          </w:tcPr>
          <w:p>
            <w:pPr>
              <w:spacing w:after="20" w:before="20"/>
              <w:jc w:val="center"/>
            </w:pPr>
            <w:r>
              <w:rPr>
                <w:rFonts w:ascii="Times New Roman" w:hAnsi="Times New Roman"/>
                <w:b/>
                <w:sz w:val="16"/>
              </w:rPr>
              <w:t>Category / Mechanism</w:t>
            </w:r>
          </w:p>
        </w:tc>
        <w:tc>
          <w:tcPr>
            <w:tcW w:type="dxa" w:w="1512"/>
          </w:tcPr>
          <w:p>
            <w:pPr>
              <w:spacing w:after="20" w:before="20"/>
              <w:jc w:val="center"/>
            </w:pPr>
            <w:r>
              <w:rPr>
                <w:rFonts w:ascii="Times New Roman" w:hAnsi="Times New Roman"/>
                <w:b/>
                <w:sz w:val="16"/>
              </w:rPr>
              <w:t>Affected metric</w:t>
            </w:r>
          </w:p>
        </w:tc>
        <w:tc>
          <w:tcPr>
            <w:tcW w:type="dxa" w:w="1296"/>
          </w:tcPr>
          <w:p>
            <w:pPr>
              <w:spacing w:after="20" w:before="20"/>
              <w:jc w:val="center"/>
            </w:pPr>
            <w:r>
              <w:rPr>
                <w:rFonts w:ascii="Times New Roman" w:hAnsi="Times New Roman"/>
                <w:b/>
                <w:sz w:val="16"/>
              </w:rPr>
              <w:t>Observed broken</w:t>
            </w:r>
          </w:p>
        </w:tc>
        <w:tc>
          <w:tcPr>
            <w:tcW w:type="dxa" w:w="1296"/>
          </w:tcPr>
          <w:p>
            <w:pPr>
              <w:spacing w:after="20" w:before="20"/>
              <w:jc w:val="center"/>
            </w:pPr>
            <w:r>
              <w:rPr>
                <w:rFonts w:ascii="Times New Roman" w:hAnsi="Times New Roman"/>
                <w:b/>
                <w:sz w:val="16"/>
              </w:rPr>
              <w:t>Corrected ground truth</w:t>
            </w:r>
          </w:p>
        </w:tc>
      </w:tr>
      <w:tr>
        <w:tc>
          <w:tcPr>
            <w:tcW w:type="dxa" w:w="1944"/>
          </w:tcPr>
          <w:p>
            <w:pPr>
              <w:spacing w:after="20" w:before="20"/>
              <w:jc w:val="center"/>
            </w:pPr>
            <w:r>
              <w:rPr>
                <w:rFonts w:ascii="Times New Roman" w:hAnsi="Times New Roman"/>
                <w:sz w:val="16"/>
              </w:rPr>
              <w:t>Contamination ①: Index Q&amp;A pairs</w:t>
            </w:r>
          </w:p>
        </w:tc>
        <w:tc>
          <w:tcPr>
            <w:tcW w:type="dxa" w:w="1512"/>
          </w:tcPr>
          <w:p>
            <w:pPr>
              <w:spacing w:after="20" w:before="20"/>
              <w:jc w:val="center"/>
            </w:pPr>
            <w:r>
              <w:rPr>
                <w:rFonts w:ascii="Times New Roman" w:hAnsi="Times New Roman"/>
                <w:sz w:val="16"/>
              </w:rPr>
              <w:t>Hit@1 / MRR (constitutional)</w:t>
            </w:r>
          </w:p>
        </w:tc>
        <w:tc>
          <w:tcPr>
            <w:tcW w:type="dxa" w:w="1296"/>
          </w:tcPr>
          <w:p>
            <w:pPr>
              <w:spacing w:after="20" w:before="20"/>
              <w:jc w:val="center"/>
            </w:pPr>
            <w:r>
              <w:rPr>
                <w:rFonts w:ascii="Times New Roman" w:hAnsi="Times New Roman"/>
                <w:sz w:val="16"/>
              </w:rPr>
              <w:t>Inflated (verbatim)</w:t>
            </w:r>
          </w:p>
        </w:tc>
        <w:tc>
          <w:tcPr>
            <w:tcW w:type="dxa" w:w="1296"/>
          </w:tcPr>
          <w:p>
            <w:pPr>
              <w:spacing w:after="20" w:before="20"/>
              <w:jc w:val="center"/>
            </w:pPr>
            <w:r>
              <w:rPr>
                <w:rFonts w:ascii="Times New Roman" w:hAnsi="Times New Roman"/>
                <w:sz w:val="16"/>
              </w:rPr>
              <w:t>Excluded</w:t>
            </w:r>
          </w:p>
        </w:tc>
      </w:tr>
      <w:tr>
        <w:tc>
          <w:tcPr>
            <w:tcW w:type="dxa" w:w="1944"/>
          </w:tcPr>
          <w:p>
            <w:pPr>
              <w:spacing w:after="20" w:before="20"/>
              <w:jc w:val="center"/>
            </w:pPr>
            <w:r>
              <w:rPr>
                <w:rFonts w:ascii="Times New Roman" w:hAnsi="Times New Roman"/>
                <w:sz w:val="16"/>
              </w:rPr>
              <w:t>Contamination ②: Wrong gold join</w:t>
            </w:r>
          </w:p>
        </w:tc>
        <w:tc>
          <w:tcPr>
            <w:tcW w:type="dxa" w:w="1512"/>
          </w:tcPr>
          <w:p>
            <w:pPr>
              <w:spacing w:after="20" w:before="20"/>
              <w:jc w:val="center"/>
            </w:pPr>
            <w:r>
              <w:rPr>
                <w:rFonts w:ascii="Times New Roman" w:hAnsi="Times New Roman"/>
                <w:sz w:val="16"/>
              </w:rPr>
              <w:t>MRR (constitutional eval)</w:t>
            </w:r>
          </w:p>
        </w:tc>
        <w:tc>
          <w:tcPr>
            <w:tcW w:type="dxa" w:w="1296"/>
          </w:tcPr>
          <w:p>
            <w:pPr>
              <w:spacing w:after="20" w:before="20"/>
              <w:jc w:val="center"/>
            </w:pPr>
            <w:r>
              <w:rPr>
                <w:rFonts w:ascii="Times New Roman" w:hAnsi="Times New Roman"/>
                <w:sz w:val="16"/>
              </w:rPr>
              <w:t>0.114 (corrupted join)</w:t>
            </w:r>
          </w:p>
        </w:tc>
        <w:tc>
          <w:tcPr>
            <w:tcW w:type="dxa" w:w="1296"/>
          </w:tcPr>
          <w:p>
            <w:pPr>
              <w:spacing w:after="20" w:before="20"/>
              <w:jc w:val="center"/>
            </w:pPr>
            <w:r>
              <w:rPr>
                <w:rFonts w:ascii="Times New Roman" w:hAnsi="Times New Roman"/>
                <w:sz w:val="16"/>
              </w:rPr>
              <w:t>0.581 (corrected join)</w:t>
            </w:r>
          </w:p>
        </w:tc>
      </w:tr>
      <w:tr>
        <w:tc>
          <w:tcPr>
            <w:tcW w:type="dxa" w:w="1944"/>
          </w:tcPr>
          <w:p>
            <w:pPr>
              <w:spacing w:after="20" w:before="20"/>
              <w:jc w:val="center"/>
            </w:pPr>
            <w:r>
              <w:rPr>
                <w:rFonts w:ascii="Times New Roman" w:hAnsi="Times New Roman"/>
                <w:sz w:val="16"/>
              </w:rPr>
              <w:t>Contamination ③: Target leakage</w:t>
            </w:r>
          </w:p>
        </w:tc>
        <w:tc>
          <w:tcPr>
            <w:tcW w:type="dxa" w:w="1512"/>
          </w:tcPr>
          <w:p>
            <w:pPr>
              <w:spacing w:after="20" w:before="20"/>
              <w:jc w:val="center"/>
            </w:pPr>
            <w:r>
              <w:rPr>
                <w:rFonts w:ascii="Times New Roman" w:hAnsi="Times New Roman"/>
                <w:sz w:val="16"/>
              </w:rPr>
              <w:t>Hit@1 (general model OOD)</w:t>
            </w:r>
          </w:p>
        </w:tc>
        <w:tc>
          <w:tcPr>
            <w:tcW w:type="dxa" w:w="1296"/>
          </w:tcPr>
          <w:p>
            <w:pPr>
              <w:spacing w:after="20" w:before="20"/>
              <w:jc w:val="center"/>
            </w:pPr>
            <w:r>
              <w:rPr>
                <w:rFonts w:ascii="Times New Roman" w:hAnsi="Times New Roman"/>
                <w:sz w:val="16"/>
              </w:rPr>
              <w:t>Shared targets</w:t>
            </w:r>
          </w:p>
        </w:tc>
        <w:tc>
          <w:tcPr>
            <w:tcW w:type="dxa" w:w="1296"/>
          </w:tcPr>
          <w:p>
            <w:pPr>
              <w:spacing w:after="20" w:before="20"/>
              <w:jc w:val="center"/>
            </w:pPr>
            <w:r>
              <w:rPr>
                <w:rFonts w:ascii="Times New Roman" w:hAnsi="Times New Roman"/>
                <w:sz w:val="16"/>
              </w:rPr>
              <w:t>128 clean queries</w:t>
            </w:r>
          </w:p>
        </w:tc>
      </w:tr>
      <w:tr>
        <w:tc>
          <w:tcPr>
            <w:tcW w:type="dxa" w:w="1944"/>
          </w:tcPr>
          <w:p>
            <w:pPr>
              <w:spacing w:after="20" w:before="20"/>
              <w:jc w:val="center"/>
            </w:pPr>
            <w:r>
              <w:rPr>
                <w:rFonts w:ascii="Times New Roman" w:hAnsi="Times New Roman"/>
                <w:sz w:val="16"/>
              </w:rPr>
              <w:t>Evaluation consequence of target leakage</w:t>
            </w:r>
          </w:p>
        </w:tc>
        <w:tc>
          <w:tcPr>
            <w:tcW w:type="dxa" w:w="1512"/>
          </w:tcPr>
          <w:p>
            <w:pPr>
              <w:spacing w:after="20" w:before="20"/>
              <w:jc w:val="center"/>
            </w:pPr>
            <w:r>
              <w:rPr>
                <w:rFonts w:ascii="Times New Roman" w:hAnsi="Times New Roman"/>
                <w:sz w:val="16"/>
              </w:rPr>
              <w:t>Constitutional Hit@1</w:t>
            </w:r>
          </w:p>
        </w:tc>
        <w:tc>
          <w:tcPr>
            <w:tcW w:type="dxa" w:w="1296"/>
          </w:tcPr>
          <w:p>
            <w:pPr>
              <w:spacing w:after="20" w:before="20"/>
              <w:jc w:val="center"/>
            </w:pPr>
            <w:r>
              <w:rPr>
                <w:rFonts w:ascii="Times New Roman" w:hAnsi="Times New Roman"/>
                <w:sz w:val="16"/>
              </w:rPr>
              <w:t>0.766 (memorisation)</w:t>
            </w:r>
          </w:p>
        </w:tc>
        <w:tc>
          <w:tcPr>
            <w:tcW w:type="dxa" w:w="1296"/>
          </w:tcPr>
          <w:p>
            <w:pPr>
              <w:spacing w:after="20" w:before="20"/>
              <w:jc w:val="center"/>
            </w:pPr>
            <w:r>
              <w:rPr>
                <w:rFonts w:ascii="Times New Roman" w:hAnsi="Times New Roman"/>
                <w:sz w:val="16"/>
              </w:rPr>
              <w:t>Excluded from OOD</w:t>
            </w:r>
          </w:p>
        </w:tc>
      </w:tr>
    </w:tbl>
    <w:p>
      <w:pPr>
        <w:spacing w:after="40" w:before="0" w:line="240" w:lineRule="auto"/>
        <w:jc w:val="both"/>
      </w:pPr>
    </w:p>
    <w:p>
      <w:pPr>
        <w:spacing w:after="80" w:before="0" w:line="240" w:lineRule="auto"/>
        <w:jc w:val="both"/>
      </w:pPr>
      <w:r>
        <w:rPr>
          <w:rFonts w:ascii="Times New Roman" w:hAnsi="Times New Roman"/>
          <w:b w:val="0"/>
          <w:i w:val="0"/>
          <w:sz w:val="20"/>
        </w:rPr>
        <w:t>Note: Baseline MRR 0.438 refers to the General Model on clean citation pairs. MRR 0.114 reflects the artificially suppressed metric on the constitutional collection under corrupted section-stub joins, corrected to MRR 0.581 upon repairing the evaluation script.</w:t>
      </w:r>
    </w:p>
    <w:p>
      <w:pPr>
        <w:spacing w:after="60" w:before="160" w:line="240" w:lineRule="auto"/>
        <w:jc w:val="center"/>
      </w:pPr>
      <w:r>
        <w:rPr>
          <w:rFonts w:ascii="Times New Roman" w:hAnsi="Times New Roman"/>
          <w:b/>
          <w:i w:val="0"/>
          <w:sz w:val="20"/>
        </w:rPr>
        <w:t>VI.  DISCUSSION</w:t>
      </w:r>
    </w:p>
    <w:p>
      <w:pPr>
        <w:spacing w:after="80" w:before="0" w:line="240" w:lineRule="auto"/>
        <w:ind w:firstLine="259"/>
        <w:jc w:val="both"/>
      </w:pPr>
      <w:r>
        <w:rPr>
          <w:rFonts w:ascii="Times New Roman" w:hAnsi="Times New Roman"/>
          <w:b w:val="0"/>
          <w:i w:val="0"/>
          <w:sz w:val="20"/>
        </w:rPr>
        <w:t>Sorting every retrieval intervention by whether its effect survived a style change produces a clean split (Table III). The dividing line is not complexity or cost but what the intervention encodes. Everything that transferred encodes a property of the law or the documents; everything that did not learns a mapping from question surface form to passage. Legal language explains why this matters more here than elsewhere: a statutory corpus is small, highly structured, and written in a register no user employs, so the gap between a question and its answer is one of register, not topic. A model fitted to one generator’s phrasing closes that specific gap; a differently-phrased question reopens it.</w:t>
      </w:r>
    </w:p>
    <w:p>
      <w:pPr>
        <w:spacing w:after="40" w:before="120" w:line="240" w:lineRule="auto"/>
        <w:jc w:val="center"/>
      </w:pPr>
      <w:r>
        <w:rPr>
          <w:rFonts w:ascii="Times New Roman" w:hAnsi="Times New Roman"/>
          <w:b/>
          <w:i w:val="0"/>
          <w:sz w:val="16"/>
        </w:rPr>
        <w:t>TABLE III.  INTERVENTIONS SORTED BY WHETHER EFFECT SURVIVED STYLE CHANGE</w:t>
      </w:r>
    </w:p>
    <w:tbl>
      <w:tblPr>
        <w:tblW w:type="auto" w:w="0"/>
        <w:tblLayout w:type="fixed"/>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5220"/>
        <w:gridCol w:w="5220"/>
      </w:tblGrid>
      <w:tr>
        <w:tc>
          <w:tcPr>
            <w:tcW w:type="dxa" w:w="2376"/>
          </w:tcPr>
          <w:p>
            <w:pPr>
              <w:spacing w:after="20" w:before="20"/>
              <w:jc w:val="center"/>
            </w:pPr>
            <w:r>
              <w:rPr>
                <w:rFonts w:ascii="Times New Roman" w:hAnsi="Times New Roman"/>
                <w:b/>
                <w:sz w:val="16"/>
              </w:rPr>
              <w:t>Transferred</w:t>
            </w:r>
          </w:p>
        </w:tc>
        <w:tc>
          <w:tcPr>
            <w:tcW w:type="dxa" w:w="2376"/>
          </w:tcPr>
          <w:p>
            <w:pPr>
              <w:spacing w:after="20" w:before="20"/>
              <w:jc w:val="center"/>
            </w:pPr>
            <w:r>
              <w:rPr>
                <w:rFonts w:ascii="Times New Roman" w:hAnsi="Times New Roman"/>
                <w:b/>
                <w:sz w:val="16"/>
              </w:rPr>
              <w:t>Did not transfer</w:t>
            </w:r>
          </w:p>
        </w:tc>
      </w:tr>
      <w:tr>
        <w:tc>
          <w:tcPr>
            <w:tcW w:type="dxa" w:w="2376"/>
          </w:tcPr>
          <w:p>
            <w:pPr>
              <w:spacing w:after="20" w:before="20"/>
              <w:jc w:val="center"/>
            </w:pPr>
            <w:r>
              <w:rPr>
                <w:rFonts w:ascii="Times New Roman" w:hAnsi="Times New Roman"/>
                <w:sz w:val="16"/>
              </w:rPr>
              <w:t>Statutory-scope rules (rank 12→1)</w:t>
            </w:r>
          </w:p>
        </w:tc>
        <w:tc>
          <w:tcPr>
            <w:tcW w:type="dxa" w:w="2376"/>
          </w:tcPr>
          <w:p>
            <w:pPr>
              <w:spacing w:after="20" w:before="20"/>
              <w:jc w:val="center"/>
            </w:pPr>
            <w:r>
              <w:rPr>
                <w:rFonts w:ascii="Times New Roman" w:hAnsi="Times New Roman"/>
                <w:sz w:val="16"/>
              </w:rPr>
              <w:t>Fine-tuned embeddings (+2.4 OOD)</w:t>
            </w:r>
          </w:p>
        </w:tc>
      </w:tr>
      <w:tr>
        <w:tc>
          <w:tcPr>
            <w:tcW w:type="dxa" w:w="2376"/>
          </w:tcPr>
          <w:p>
            <w:pPr>
              <w:spacing w:after="20" w:before="20"/>
              <w:jc w:val="center"/>
            </w:pPr>
            <w:r>
              <w:rPr>
                <w:rFonts w:ascii="Times New Roman" w:hAnsi="Times New Roman"/>
                <w:sz w:val="16"/>
              </w:rPr>
              <w:t>Corpus repairs</w:t>
            </w:r>
          </w:p>
        </w:tc>
        <w:tc>
          <w:tcPr>
            <w:tcW w:type="dxa" w:w="2376"/>
          </w:tcPr>
          <w:p>
            <w:pPr>
              <w:spacing w:after="20" w:before="20"/>
              <w:jc w:val="center"/>
            </w:pPr>
            <w:r>
              <w:rPr>
                <w:rFonts w:ascii="Times New Roman" w:hAnsi="Times New Roman"/>
                <w:sz w:val="16"/>
              </w:rPr>
              <w:t>Cross-encoder rerank (rank 3→10)</w:t>
            </w:r>
          </w:p>
        </w:tc>
      </w:tr>
      <w:tr>
        <w:tc>
          <w:tcPr>
            <w:tcW w:type="dxa" w:w="2376"/>
          </w:tcPr>
          <w:p>
            <w:pPr>
              <w:spacing w:after="20" w:before="20"/>
              <w:jc w:val="center"/>
            </w:pPr>
            <w:r>
              <w:rPr>
                <w:rFonts w:ascii="Times New Roman" w:hAnsi="Times New Roman"/>
                <w:sz w:val="16"/>
              </w:rPr>
              <w:t>Local IDF weighting (+0.090)</w:t>
            </w:r>
          </w:p>
        </w:tc>
        <w:tc>
          <w:tcPr>
            <w:tcW w:type="dxa" w:w="2376"/>
          </w:tcPr>
          <w:p>
            <w:pPr>
              <w:spacing w:after="20" w:before="20"/>
              <w:jc w:val="center"/>
            </w:pPr>
            <w:r>
              <w:rPr>
                <w:rFonts w:ascii="Times New Roman" w:hAnsi="Times New Roman"/>
                <w:sz w:val="16"/>
              </w:rPr>
              <w:t>Fusion-weight tuning (no gain)</w:t>
            </w:r>
          </w:p>
        </w:tc>
      </w:tr>
    </w:tbl>
    <w:p>
      <w:pPr>
        <w:spacing w:after="40" w:before="0" w:line="240" w:lineRule="auto"/>
        <w:jc w:val="both"/>
      </w:pPr>
    </w:p>
    <w:p>
      <w:pPr>
        <w:spacing w:after="80" w:before="0" w:line="240" w:lineRule="auto"/>
        <w:ind w:firstLine="259"/>
        <w:jc w:val="both"/>
      </w:pPr>
      <w:r>
        <w:rPr>
          <w:rFonts w:ascii="Times New Roman" w:hAnsi="Times New Roman"/>
          <w:b w:val="0"/>
          <w:i w:val="0"/>
          <w:sz w:val="20"/>
        </w:rPr>
        <w:t>Stacking the surviving interventions sequentially yields a clear ‘what to deploy’ takeaway (Table IV). Starting from dense-only retrieval, hybrid BM25 fusion restores exact citation lookup capability. Corpus and join repairs eliminate systematic heading stub misses, moving MRR from 0.114 to 0.581. Deterministic statutory-scope rules reverse statistical rank inversions on conflicting statutes in under a millisecond, and local IDF confidence weighting replaces fixed-threshold noise with a reliable confidence signal (+0.090 delta). Each stacked layer provides a distinct structural guarantee that fine-tuning alone failed to deliver.</w:t>
      </w:r>
    </w:p>
    <w:p>
      <w:pPr>
        <w:spacing w:after="40" w:before="120" w:line="240" w:lineRule="auto"/>
        <w:jc w:val="center"/>
      </w:pPr>
      <w:r>
        <w:rPr>
          <w:rFonts w:ascii="Times New Roman" w:hAnsi="Times New Roman"/>
          <w:b/>
          <w:i w:val="0"/>
          <w:sz w:val="16"/>
        </w:rPr>
        <w:t>TABLE IV.  CUMULATIVE ABLATION OF DEPLOYED PIPELINE INTERVENTIONS</w:t>
      </w:r>
    </w:p>
    <w:tbl>
      <w:tblPr>
        <w:tblW w:type="auto" w:w="0"/>
        <w:tblLayout w:type="fixed"/>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3480"/>
        <w:gridCol w:w="3480"/>
        <w:gridCol w:w="3480"/>
      </w:tblGrid>
      <w:tr>
        <w:tc>
          <w:tcPr>
            <w:tcW w:type="dxa" w:w="1440"/>
          </w:tcPr>
          <w:p>
            <w:pPr>
              <w:spacing w:after="20" w:before="20"/>
              <w:jc w:val="center"/>
            </w:pPr>
            <w:r>
              <w:rPr>
                <w:rFonts w:ascii="Times New Roman" w:hAnsi="Times New Roman"/>
                <w:b/>
                <w:sz w:val="16"/>
              </w:rPr>
              <w:t>Pipeline Layer</w:t>
            </w:r>
          </w:p>
        </w:tc>
        <w:tc>
          <w:tcPr>
            <w:tcW w:type="dxa" w:w="1872"/>
          </w:tcPr>
          <w:p>
            <w:pPr>
              <w:spacing w:after="20" w:before="20"/>
              <w:jc w:val="center"/>
            </w:pPr>
            <w:r>
              <w:rPr>
                <w:rFonts w:ascii="Times New Roman" w:hAnsi="Times New Roman"/>
                <w:b/>
                <w:sz w:val="16"/>
              </w:rPr>
              <w:t>Intervention Added</w:t>
            </w:r>
          </w:p>
        </w:tc>
        <w:tc>
          <w:tcPr>
            <w:tcW w:type="dxa" w:w="1440"/>
          </w:tcPr>
          <w:p>
            <w:pPr>
              <w:spacing w:after="20" w:before="20"/>
              <w:jc w:val="center"/>
            </w:pPr>
            <w:r>
              <w:rPr>
                <w:rFonts w:ascii="Times New Roman" w:hAnsi="Times New Roman"/>
                <w:b/>
                <w:sz w:val="16"/>
              </w:rPr>
              <w:t>Primary Metric / Retrieval Impact</w:t>
            </w:r>
          </w:p>
        </w:tc>
      </w:tr>
      <w:tr>
        <w:tc>
          <w:tcPr>
            <w:tcW w:type="dxa" w:w="1440"/>
          </w:tcPr>
          <w:p>
            <w:pPr>
              <w:spacing w:after="20" w:before="20"/>
              <w:jc w:val="center"/>
            </w:pPr>
            <w:r>
              <w:rPr>
                <w:rFonts w:ascii="Times New Roman" w:hAnsi="Times New Roman"/>
                <w:sz w:val="16"/>
              </w:rPr>
              <w:t>0. Baseline</w:t>
            </w:r>
          </w:p>
        </w:tc>
        <w:tc>
          <w:tcPr>
            <w:tcW w:type="dxa" w:w="1872"/>
          </w:tcPr>
          <w:p>
            <w:pPr>
              <w:spacing w:after="20" w:before="20"/>
              <w:jc w:val="center"/>
            </w:pPr>
            <w:r>
              <w:rPr>
                <w:rFonts w:ascii="Times New Roman" w:hAnsi="Times New Roman"/>
                <w:sz w:val="16"/>
              </w:rPr>
              <w:t>Dense-only (multilingual-e5-base)</w:t>
            </w:r>
          </w:p>
        </w:tc>
        <w:tc>
          <w:tcPr>
            <w:tcW w:type="dxa" w:w="1440"/>
          </w:tcPr>
          <w:p>
            <w:pPr>
              <w:spacing w:after="20" w:before="20"/>
              <w:jc w:val="center"/>
            </w:pPr>
            <w:r>
              <w:rPr>
                <w:rFonts w:ascii="Times New Roman" w:hAnsi="Times New Roman"/>
                <w:sz w:val="16"/>
              </w:rPr>
              <w:t>Hit@1: 41.3%–43.5% | MRR: 0.438</w:t>
            </w:r>
          </w:p>
        </w:tc>
      </w:tr>
      <w:tr>
        <w:tc>
          <w:tcPr>
            <w:tcW w:type="dxa" w:w="1440"/>
          </w:tcPr>
          <w:p>
            <w:pPr>
              <w:spacing w:after="20" w:before="20"/>
              <w:jc w:val="center"/>
            </w:pPr>
            <w:r>
              <w:rPr>
                <w:rFonts w:ascii="Times New Roman" w:hAnsi="Times New Roman"/>
                <w:sz w:val="16"/>
              </w:rPr>
              <w:t>1. + Lexical Fusion</w:t>
            </w:r>
          </w:p>
        </w:tc>
        <w:tc>
          <w:tcPr>
            <w:tcW w:type="dxa" w:w="1872"/>
          </w:tcPr>
          <w:p>
            <w:pPr>
              <w:spacing w:after="20" w:before="20"/>
              <w:jc w:val="center"/>
            </w:pPr>
            <w:r>
              <w:rPr>
                <w:rFonts w:ascii="Times New Roman" w:hAnsi="Times New Roman"/>
                <w:sz w:val="16"/>
              </w:rPr>
              <w:t>Hybrid BM25 (0.6) + Dense (0.4)</w:t>
            </w:r>
          </w:p>
        </w:tc>
        <w:tc>
          <w:tcPr>
            <w:tcW w:type="dxa" w:w="1440"/>
          </w:tcPr>
          <w:p>
            <w:pPr>
              <w:spacing w:after="20" w:before="20"/>
              <w:jc w:val="center"/>
            </w:pPr>
            <w:r>
              <w:rPr>
                <w:rFonts w:ascii="Times New Roman" w:hAnsi="Times New Roman"/>
                <w:sz w:val="16"/>
              </w:rPr>
              <w:t>Hit@1: 51.8% (+8.3%) | MRR: 0.521</w:t>
            </w:r>
          </w:p>
        </w:tc>
      </w:tr>
      <w:tr>
        <w:tc>
          <w:tcPr>
            <w:tcW w:type="dxa" w:w="1440"/>
          </w:tcPr>
          <w:p>
            <w:pPr>
              <w:spacing w:after="20" w:before="20"/>
              <w:jc w:val="center"/>
            </w:pPr>
            <w:r>
              <w:rPr>
                <w:rFonts w:ascii="Times New Roman" w:hAnsi="Times New Roman"/>
                <w:sz w:val="16"/>
              </w:rPr>
              <w:t>2. + Corpus &amp; Join Repairs</w:t>
            </w:r>
          </w:p>
        </w:tc>
        <w:tc>
          <w:tcPr>
            <w:tcW w:type="dxa" w:w="1872"/>
          </w:tcPr>
          <w:p>
            <w:pPr>
              <w:spacing w:after="20" w:before="20"/>
              <w:jc w:val="center"/>
            </w:pPr>
            <w:r>
              <w:rPr>
                <w:rFonts w:ascii="Times New Roman" w:hAnsi="Times New Roman"/>
                <w:sz w:val="16"/>
              </w:rPr>
              <w:t>Rebuilt body n-gram joins &amp; index cleanup</w:t>
            </w:r>
          </w:p>
        </w:tc>
        <w:tc>
          <w:tcPr>
            <w:tcW w:type="dxa" w:w="1440"/>
          </w:tcPr>
          <w:p>
            <w:pPr>
              <w:spacing w:after="20" w:before="20"/>
              <w:jc w:val="center"/>
            </w:pPr>
            <w:r>
              <w:rPr>
                <w:rFonts w:ascii="Times New Roman" w:hAnsi="Times New Roman"/>
                <w:sz w:val="16"/>
              </w:rPr>
              <w:t>MRR: 0.114 → 0.581</w:t>
            </w:r>
          </w:p>
        </w:tc>
      </w:tr>
      <w:tr>
        <w:tc>
          <w:tcPr>
            <w:tcW w:type="dxa" w:w="1440"/>
          </w:tcPr>
          <w:p>
            <w:pPr>
              <w:spacing w:after="20" w:before="20"/>
              <w:jc w:val="center"/>
            </w:pPr>
            <w:r>
              <w:rPr>
                <w:rFonts w:ascii="Times New Roman" w:hAnsi="Times New Roman"/>
                <w:sz w:val="16"/>
              </w:rPr>
              <w:t>3. + Scope Rules</w:t>
            </w:r>
          </w:p>
        </w:tc>
        <w:tc>
          <w:tcPr>
            <w:tcW w:type="dxa" w:w="1872"/>
          </w:tcPr>
          <w:p>
            <w:pPr>
              <w:spacing w:after="20" w:before="20"/>
              <w:jc w:val="center"/>
            </w:pPr>
            <w:r>
              <w:rPr>
                <w:rFonts w:ascii="Times New Roman" w:hAnsi="Times New Roman"/>
                <w:sz w:val="16"/>
              </w:rPr>
              <w:t>Deterministic statutory scope precedence</w:t>
            </w:r>
          </w:p>
        </w:tc>
        <w:tc>
          <w:tcPr>
            <w:tcW w:type="dxa" w:w="1440"/>
          </w:tcPr>
          <w:p>
            <w:pPr>
              <w:spacing w:after="20" w:before="20"/>
              <w:jc w:val="center"/>
            </w:pPr>
            <w:r>
              <w:rPr>
                <w:rFonts w:ascii="Times New Roman" w:hAnsi="Times New Roman"/>
                <w:sz w:val="16"/>
              </w:rPr>
              <w:t>Target Rank: Rank 10 → Rank 1 (&lt;1ms)</w:t>
            </w:r>
          </w:p>
        </w:tc>
      </w:tr>
      <w:tr>
        <w:tc>
          <w:tcPr>
            <w:tcW w:type="dxa" w:w="1440"/>
          </w:tcPr>
          <w:p>
            <w:pPr>
              <w:spacing w:after="20" w:before="20"/>
              <w:jc w:val="center"/>
            </w:pPr>
            <w:r>
              <w:rPr>
                <w:rFonts w:ascii="Times New Roman" w:hAnsi="Times New Roman"/>
                <w:sz w:val="16"/>
              </w:rPr>
              <w:t>4. + Local IDF Weighting</w:t>
            </w:r>
          </w:p>
        </w:tc>
        <w:tc>
          <w:tcPr>
            <w:tcW w:type="dxa" w:w="1872"/>
          </w:tcPr>
          <w:p>
            <w:pPr>
              <w:spacing w:after="20" w:before="20"/>
              <w:jc w:val="center"/>
            </w:pPr>
            <w:r>
              <w:rPr>
                <w:rFonts w:ascii="Times New Roman" w:hAnsi="Times New Roman"/>
                <w:sz w:val="16"/>
              </w:rPr>
              <w:t>Adaptive local IDF confidence scoring</w:t>
            </w:r>
          </w:p>
        </w:tc>
        <w:tc>
          <w:tcPr>
            <w:tcW w:type="dxa" w:w="1440"/>
          </w:tcPr>
          <w:p>
            <w:pPr>
              <w:spacing w:after="20" w:before="20"/>
              <w:jc w:val="center"/>
            </w:pPr>
            <w:r>
              <w:rPr>
                <w:rFonts w:ascii="Times New Roman" w:hAnsi="Times New Roman"/>
                <w:sz w:val="16"/>
              </w:rPr>
              <w:t>Confidence Signal Delta: +0.090</w:t>
            </w:r>
          </w:p>
        </w:tc>
      </w:tr>
    </w:tbl>
    <w:p>
      <w:pPr>
        <w:spacing w:after="40" w:before="0" w:line="240" w:lineRule="auto"/>
        <w:jc w:val="both"/>
      </w:pPr>
    </w:p>
    <w:p>
      <w:pPr>
        <w:spacing w:after="80" w:before="0" w:line="240" w:lineRule="auto"/>
        <w:ind w:firstLine="259"/>
        <w:jc w:val="both"/>
      </w:pPr>
      <w:r>
        <w:rPr>
          <w:rFonts w:ascii="Times New Roman" w:hAnsi="Times New Roman"/>
          <w:b w:val="0"/>
          <w:i w:val="0"/>
          <w:sz w:val="20"/>
        </w:rPr>
        <w:t>The errors agree with the aggregates. One exact-citation lookup, ‘What was omitted by S.R.O. No. 1278 (1) 85?’, fell from rank 1 to absent under the cross-encoder, under the constitutional model, and under the general model: all three traded lexical precision for semantic similarity, which is what optimising a dense objective on paraphrased questions rewards. That BM25 fusion partially repairs the damage says what was lost was lexical rather than legal.</w:t>
      </w:r>
    </w:p>
    <w:p>
      <w:pPr>
        <w:spacing w:after="80" w:before="0" w:line="240" w:lineRule="auto"/>
        <w:ind w:firstLine="259"/>
        <w:jc w:val="both"/>
      </w:pPr>
      <w:r>
        <w:rPr>
          <w:rFonts w:ascii="Times New Roman" w:hAnsi="Times New Roman"/>
          <w:b w:val="0"/>
          <w:i w:val="0"/>
          <w:sz w:val="20"/>
        </w:rPr>
        <w:t>We do not claim fine-tuning cannot work for legal retrieval, only that training on one generator’s questions produces a model fitted to that generator, that this is invisible when the test set shares the generator, and that the in-distribution number is therefore not evidence of deployment benefit. A natural counterargument is rule scalability: deterministic rules require domain engineering per conflict, whereas statistical models promise zero-shot coverage. However, in low-resource legal domains where training data is uncurated, deterministic rules provide a precision floor on specific statutory conflicts where off-the-shelf statistical models can invert statutory priority.</w:t>
      </w:r>
    </w:p>
    <w:p>
      <w:pPr>
        <w:spacing w:after="40" w:before="80" w:line="240" w:lineRule="auto"/>
        <w:jc w:val="center"/>
      </w:pPr>
      <w:r>
        <w:drawing>
          <wp:inline xmlns:a="http://schemas.openxmlformats.org/drawingml/2006/main" xmlns:pic="http://schemas.openxmlformats.org/drawingml/2006/picture">
            <wp:extent cx="2926994" cy="2573597"/>
            <wp:docPr id="4" name="Picture 4"/>
            <wp:cNvGraphicFramePr>
              <a:graphicFrameLocks noChangeAspect="1"/>
            </wp:cNvGraphicFramePr>
            <a:graphic>
              <a:graphicData uri="http://schemas.openxmlformats.org/drawingml/2006/picture">
                <pic:pic>
                  <pic:nvPicPr>
                    <pic:cNvPr id="0" name="fig2_lexical.png"/>
                    <pic:cNvPicPr/>
                  </pic:nvPicPr>
                  <pic:blipFill>
                    <a:blip r:embed="rId14"/>
                    <a:stretch>
                      <a:fillRect/>
                    </a:stretch>
                  </pic:blipFill>
                  <pic:spPr>
                    <a:xfrm>
                      <a:off x="0" y="0"/>
                      <a:ext cx="2926994" cy="2573597"/>
                    </a:xfrm>
                    <a:prstGeom prst="rect"/>
                  </pic:spPr>
                </pic:pic>
              </a:graphicData>
            </a:graphic>
          </wp:inline>
        </w:drawing>
      </w:r>
    </w:p>
    <w:p>
      <w:pPr>
        <w:spacing w:after="120" w:before="0" w:line="240" w:lineRule="auto"/>
        <w:jc w:val="center"/>
      </w:pPr>
      <w:r>
        <w:rPr>
          <w:rFonts w:ascii="Times New Roman" w:hAnsi="Times New Roman"/>
          <w:b w:val="0"/>
          <w:i w:val="0"/>
          <w:sz w:val="16"/>
        </w:rPr>
        <w:t>Fig. 4. Local IDF weighting versus fixed-vocabulary scoring across answerable and unanswerable queries. Fixed vocabulary produces a sign-reversed separation (answerable −0.343, unanswerable +0.343); local IDF weighting corrects the sign (answerable +0.090), making it a useful confidence signal for selective classification [25].</w:t>
      </w:r>
    </w:p>
    <w:p>
      <w:pPr>
        <w:spacing w:after="40" w:before="100" w:line="240" w:lineRule="auto"/>
        <w:jc w:val="left"/>
      </w:pPr>
      <w:r>
        <w:rPr>
          <w:rFonts w:ascii="Times New Roman" w:hAnsi="Times New Roman"/>
          <w:b w:val="0"/>
          <w:i/>
          <w:sz w:val="20"/>
        </w:rPr>
        <w:t>B.  Leakage-Free Evaluation Is the Load-Bearing Component</w:t>
      </w:r>
    </w:p>
    <w:p>
      <w:pPr>
        <w:spacing w:after="80" w:before="0" w:line="240" w:lineRule="auto"/>
        <w:ind w:firstLine="259"/>
        <w:jc w:val="both"/>
      </w:pPr>
      <w:r>
        <w:rPr>
          <w:rFonts w:ascii="Times New Roman" w:hAnsi="Times New Roman"/>
          <w:b w:val="0"/>
          <w:i w:val="0"/>
          <w:sz w:val="20"/>
        </w:rPr>
        <w:t>Three of our results were wrong before they were checked, and each time the flattering version was the wrong one. We draw three practical conclusions.</w:t>
      </w:r>
    </w:p>
    <w:p>
      <w:pPr>
        <w:spacing w:after="60" w:before="0" w:line="240" w:lineRule="auto"/>
        <w:ind w:firstLine="259"/>
        <w:jc w:val="both"/>
      </w:pPr>
      <w:r>
        <w:rPr>
          <w:rFonts w:ascii="Times New Roman" w:hAnsi="Times New Roman"/>
          <w:b/>
          <w:i/>
          <w:sz w:val="20"/>
        </w:rPr>
        <w:t xml:space="preserve">Contamination surfaces. </w:t>
      </w:r>
      <w:r>
        <w:rPr>
          <w:rFonts w:ascii="Times New Roman" w:hAnsi="Times New Roman"/>
          <w:b w:val="0"/>
          <w:i w:val="0"/>
          <w:sz w:val="20"/>
        </w:rPr>
        <w:t>A question can leak, a gold label can leak, and the index can leak, because the corpus under evaluation is itself a system component. Deduplicating queries catches none of the latter two.</w:t>
      </w:r>
    </w:p>
    <w:p>
      <w:pPr>
        <w:spacing w:after="60" w:before="0" w:line="240" w:lineRule="auto"/>
        <w:ind w:firstLine="259"/>
        <w:jc w:val="both"/>
      </w:pPr>
      <w:r>
        <w:rPr>
          <w:rFonts w:ascii="Times New Roman" w:hAnsi="Times New Roman"/>
          <w:b/>
          <w:i/>
          <w:sz w:val="20"/>
        </w:rPr>
        <w:t xml:space="preserve">Generated evaluation sets carry their generator’s signature. </w:t>
      </w:r>
      <w:r>
        <w:rPr>
          <w:rFonts w:ascii="Times New Roman" w:hAnsi="Times New Roman"/>
          <w:b w:val="0"/>
          <w:i w:val="0"/>
          <w:sz w:val="20"/>
        </w:rPr>
        <w:t>Both datasets supplying our labels were LLM-generated against statute: usable as training signal since the citation is checkable, but unreliable as benchmarks since a model trained on one generator is then tested on its own idiom. The +26.5 to +2.4 collapse is the size of that effect.</w:t>
      </w:r>
    </w:p>
    <w:p>
      <w:pPr>
        <w:spacing w:after="100" w:before="0" w:line="240" w:lineRule="auto"/>
        <w:ind w:firstLine="259"/>
        <w:jc w:val="both"/>
      </w:pPr>
      <w:r>
        <w:rPr>
          <w:rFonts w:ascii="Times New Roman" w:hAnsi="Times New Roman"/>
          <w:b/>
          <w:i/>
          <w:sz w:val="20"/>
        </w:rPr>
        <w:t xml:space="preserve">The protocol determined the conclusions more than any technique did. </w:t>
      </w:r>
      <w:r>
        <w:rPr>
          <w:rFonts w:ascii="Times New Roman" w:hAnsi="Times New Roman"/>
          <w:b w:val="0"/>
          <w:i w:val="0"/>
          <w:sz w:val="20"/>
        </w:rPr>
        <w:t>The +6.6 Hit@1 gain under fusion is the largest improvement that remains after applying full leakage and distribution-shift checks. Reporting unverified in-distribution metrics yields unfalsifiable claims.</w:t>
      </w:r>
    </w:p>
    <w:p>
      <w:pPr>
        <w:spacing w:after="40" w:before="100" w:line="240" w:lineRule="auto"/>
        <w:jc w:val="left"/>
      </w:pPr>
      <w:r>
        <w:rPr>
          <w:rFonts w:ascii="Times New Roman" w:hAnsi="Times New Roman"/>
          <w:b w:val="0"/>
          <w:i/>
          <w:sz w:val="20"/>
        </w:rPr>
        <w:t>C.  Future Work</w:t>
      </w:r>
    </w:p>
    <w:p>
      <w:pPr>
        <w:spacing w:after="80" w:before="0" w:line="240" w:lineRule="auto"/>
        <w:ind w:firstLine="259"/>
        <w:jc w:val="both"/>
      </w:pPr>
      <w:r>
        <w:rPr>
          <w:rFonts w:ascii="Times New Roman" w:hAnsi="Times New Roman"/>
          <w:b w:val="0"/>
          <w:i w:val="0"/>
          <w:sz w:val="20"/>
        </w:rPr>
        <w:t xml:space="preserve">Two items address open threats. First, 3,852 independently sourced Pakistani legal questions remain unused in training. Labelling a subset with two annotators, reporting Krippendorff’s α </w:t>
      </w:r>
      <w:hyperlink w:anchor="ref_26">
        <w:r>
          <w:rPr>
            <w:color w:val="000000"/>
            <w:u w:val="none"/>
            <w:rFonts w:ascii="Times New Roman" w:hAnsi="Times New Roman"/>
            <w:sz w:val="20"/>
          </w:rPr>
          <w:t xml:space="preserve">[26]</w:t>
        </w:r>
      </w:hyperlink>
      <w:r>
        <w:rPr>
          <w:rFonts w:ascii="Times New Roman" w:hAnsi="Times New Roman"/>
          <w:b w:val="0"/>
          <w:i w:val="0"/>
          <w:sz w:val="20"/>
        </w:rPr>
        <w:t>, and freezing half before development begins would yield the first evaluation set this work could not have tuned against; pre-registering the predicted effect and opening the frozen half once converts a measurement into evidence.</w:t>
      </w:r>
    </w:p>
    <w:p>
      <w:pPr>
        <w:spacing w:after="80" w:before="0" w:line="240" w:lineRule="auto"/>
        <w:ind w:firstLine="259"/>
        <w:jc w:val="both"/>
      </w:pPr>
      <w:r>
        <w:rPr>
          <w:rFonts w:ascii="Times New Roman" w:hAnsi="Times New Roman"/>
          <w:b w:val="0"/>
          <w:i w:val="0"/>
          <w:sz w:val="20"/>
        </w:rPr>
        <w:t xml:space="preserve">Second, between 20 % and 27 % of each collection consists of fragments under 200 characters (heading fragments competing for retrieval slots), and 11 % of failures are recall rather than ranking. Aligning chunk boundaries to statutory structure and prepending instrument and section metadata before embedding addresses both </w:t>
      </w:r>
      <w:hyperlink w:anchor="ref_27">
        <w:r>
          <w:rPr>
            <w:color w:val="000000"/>
            <w:u w:val="none"/>
            <w:rFonts w:ascii="Times New Roman" w:hAnsi="Times New Roman"/>
            <w:sz w:val="20"/>
          </w:rPr>
          <w:t xml:space="preserve">[27]</w:t>
        </w:r>
      </w:hyperlink>
      <w:r>
        <w:rPr>
          <w:rFonts w:ascii="Times New Roman" w:hAnsi="Times New Roman"/>
          <w:b w:val="0"/>
          <w:i w:val="0"/>
          <w:sz w:val="20"/>
        </w:rPr>
        <w:t>.</w:t>
      </w:r>
    </w:p>
    <w:p>
      <w:pPr>
        <w:spacing w:after="60" w:before="160" w:line="240" w:lineRule="auto"/>
        <w:jc w:val="center"/>
      </w:pPr>
      <w:r>
        <w:rPr>
          <w:rFonts w:ascii="Times New Roman" w:hAnsi="Times New Roman"/>
          <w:b/>
          <w:i w:val="0"/>
          <w:sz w:val="20"/>
        </w:rPr>
        <w:t>VII.  THREATS TO VALIDITY</w:t>
      </w:r>
    </w:p>
    <w:p>
      <w:pPr>
        <w:spacing w:after="80" w:before="0" w:line="240" w:lineRule="auto"/>
        <w:jc w:val="both"/>
      </w:pPr>
      <w:r>
        <w:rPr>
          <w:rFonts w:ascii="Times New Roman" w:hAnsi="Times New Roman"/>
          <w:b w:val="0"/>
          <w:i w:val="0"/>
          <w:sz w:val="20"/>
        </w:rPr>
        <w:t>The limits below are stated together so a reader can weigh them as a set. Threats concerning evaluation provenance would, if anything, inflate what we report; residual bias should be expected to favour the in-distribution numbers we argue against.</w:t>
      </w:r>
    </w:p>
    <w:p>
      <w:pPr>
        <w:spacing w:after="40" w:before="120" w:line="240" w:lineRule="auto"/>
        <w:jc w:val="center"/>
      </w:pPr>
      <w:r>
        <w:rPr>
          <w:rFonts w:ascii="Times New Roman" w:hAnsi="Times New Roman"/>
          <w:b/>
          <w:i w:val="0"/>
          <w:sz w:val="16"/>
        </w:rPr>
        <w:t>TABLE V.  THREATS TO VALIDITY: WHAT EACH BEARS ON AND ITS STATUS</w:t>
      </w:r>
    </w:p>
    <w:tbl>
      <w:tblPr>
        <w:tblW w:type="auto" w:w="0"/>
        <w:tblLayout w:type="fixed"/>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3480"/>
        <w:gridCol w:w="3480"/>
        <w:gridCol w:w="3480"/>
      </w:tblGrid>
      <w:tr>
        <w:tc>
          <w:tcPr>
            <w:tcW w:type="dxa" w:w="1728"/>
          </w:tcPr>
          <w:p>
            <w:pPr>
              <w:spacing w:after="20" w:before="20"/>
              <w:jc w:val="center"/>
            </w:pPr>
            <w:r>
              <w:rPr>
                <w:rFonts w:ascii="Times New Roman" w:hAnsi="Times New Roman"/>
                <w:b/>
                <w:sz w:val="16"/>
              </w:rPr>
              <w:t>Threat</w:t>
            </w:r>
          </w:p>
        </w:tc>
        <w:tc>
          <w:tcPr>
            <w:tcW w:type="dxa" w:w="1584"/>
          </w:tcPr>
          <w:p>
            <w:pPr>
              <w:spacing w:after="20" w:before="20"/>
              <w:jc w:val="center"/>
            </w:pPr>
            <w:r>
              <w:rPr>
                <w:rFonts w:ascii="Times New Roman" w:hAnsi="Times New Roman"/>
                <w:b/>
                <w:sz w:val="16"/>
              </w:rPr>
              <w:t>Bears on</w:t>
            </w:r>
          </w:p>
        </w:tc>
        <w:tc>
          <w:tcPr>
            <w:tcW w:type="dxa" w:w="2016"/>
          </w:tcPr>
          <w:p>
            <w:pPr>
              <w:spacing w:after="20" w:before="20"/>
              <w:jc w:val="center"/>
            </w:pPr>
            <w:r>
              <w:rPr>
                <w:rFonts w:ascii="Times New Roman" w:hAnsi="Times New Roman"/>
                <w:b/>
                <w:sz w:val="16"/>
              </w:rPr>
              <w:t>Status</w:t>
            </w:r>
          </w:p>
        </w:tc>
      </w:tr>
      <w:tr>
        <w:tc>
          <w:tcPr>
            <w:tcW w:type="dxa" w:w="1728"/>
          </w:tcPr>
          <w:p>
            <w:pPr>
              <w:spacing w:after="20" w:before="20"/>
              <w:jc w:val="center"/>
            </w:pPr>
            <w:r>
              <w:rPr>
                <w:rFonts w:ascii="Times New Roman" w:hAnsi="Times New Roman"/>
                <w:sz w:val="16"/>
              </w:rPr>
              <w:t>Evaluation questions are developer-authored or LLM-generated</w:t>
            </w:r>
          </w:p>
        </w:tc>
        <w:tc>
          <w:tcPr>
            <w:tcW w:type="dxa" w:w="1584"/>
          </w:tcPr>
          <w:p>
            <w:pPr>
              <w:spacing w:after="20" w:before="20"/>
              <w:jc w:val="center"/>
            </w:pPr>
            <w:r>
              <w:rPr>
                <w:rFonts w:ascii="Times New Roman" w:hAnsi="Times New Roman"/>
                <w:sz w:val="16"/>
              </w:rPr>
              <w:t>External validity of every Hit@k figure</w:t>
            </w:r>
          </w:p>
        </w:tc>
        <w:tc>
          <w:tcPr>
            <w:tcW w:type="dxa" w:w="2016"/>
          </w:tcPr>
          <w:p>
            <w:pPr>
              <w:spacing w:after="20" w:before="20"/>
              <w:jc w:val="center"/>
            </w:pPr>
            <w:r>
              <w:rPr>
                <w:rFonts w:ascii="Times New Roman" w:hAnsi="Times New Roman"/>
                <w:sz w:val="16"/>
              </w:rPr>
              <w:t>3,852 independently sourced questions identified; labelling with frozen holdout is future work</w:t>
            </w:r>
          </w:p>
        </w:tc>
      </w:tr>
      <w:tr>
        <w:tc>
          <w:tcPr>
            <w:tcW w:type="dxa" w:w="1728"/>
          </w:tcPr>
          <w:p>
            <w:pPr>
              <w:spacing w:after="20" w:before="20"/>
              <w:jc w:val="center"/>
            </w:pPr>
            <w:r>
              <w:rPr>
                <w:rFonts w:ascii="Times New Roman" w:hAnsi="Times New Roman"/>
                <w:sz w:val="16"/>
              </w:rPr>
              <w:t>Provincial coverage is Punjab only (1,608/10,042 chunks)</w:t>
            </w:r>
          </w:p>
        </w:tc>
        <w:tc>
          <w:tcPr>
            <w:tcW w:type="dxa" w:w="1584"/>
          </w:tcPr>
          <w:p>
            <w:pPr>
              <w:spacing w:after="20" w:before="20"/>
              <w:jc w:val="center"/>
            </w:pPr>
            <w:r>
              <w:rPr>
                <w:rFonts w:ascii="Times New Roman" w:hAnsi="Times New Roman"/>
                <w:sz w:val="16"/>
              </w:rPr>
              <w:t>Any Pakistan-wide claim; devolved subjects most of all</w:t>
            </w:r>
          </w:p>
        </w:tc>
        <w:tc>
          <w:tcPr>
            <w:tcW w:type="dxa" w:w="2016"/>
          </w:tcPr>
          <w:p>
            <w:pPr>
              <w:spacing w:after="20" w:before="20"/>
              <w:jc w:val="center"/>
            </w:pPr>
            <w:r>
              <w:rPr>
                <w:rFonts w:ascii="Times New Roman" w:hAnsi="Times New Roman"/>
                <w:sz w:val="16"/>
              </w:rPr>
              <w:t>Claims restricted to federal law plus Punjab throughout</w:t>
            </w:r>
          </w:p>
        </w:tc>
      </w:tr>
      <w:tr>
        <w:tc>
          <w:tcPr>
            <w:tcW w:type="dxa" w:w="1728"/>
          </w:tcPr>
          <w:p>
            <w:pPr>
              <w:spacing w:after="20" w:before="20"/>
              <w:jc w:val="center"/>
            </w:pPr>
            <w:r>
              <w:rPr>
                <w:rFonts w:ascii="Times New Roman" w:hAnsi="Times New Roman"/>
                <w:sz w:val="16"/>
              </w:rPr>
              <w:t>Generation correctness is unmeasured</w:t>
            </w:r>
          </w:p>
        </w:tc>
        <w:tc>
          <w:tcPr>
            <w:tcW w:type="dxa" w:w="1584"/>
          </w:tcPr>
          <w:p>
            <w:pPr>
              <w:spacing w:after="20" w:before="20"/>
              <w:jc w:val="center"/>
            </w:pPr>
            <w:r>
              <w:rPr>
                <w:rFonts w:ascii="Times New Roman" w:hAnsi="Times New Roman"/>
                <w:sz w:val="16"/>
              </w:rPr>
              <w:t>End-to-end benefit to a user</w:t>
            </w:r>
          </w:p>
        </w:tc>
        <w:tc>
          <w:tcPr>
            <w:tcW w:type="dxa" w:w="2016"/>
          </w:tcPr>
          <w:p>
            <w:pPr>
              <w:spacing w:after="20" w:before="20"/>
              <w:jc w:val="center"/>
            </w:pPr>
            <w:r>
              <w:rPr>
                <w:rFonts w:ascii="Times New Roman" w:hAnsi="Times New Roman"/>
                <w:sz w:val="16"/>
              </w:rPr>
              <w:t>All claims are retrieval-level; practitioner adjudication is the next priority</w:t>
            </w:r>
          </w:p>
        </w:tc>
      </w:tr>
      <w:tr>
        <w:tc>
          <w:tcPr>
            <w:tcW w:type="dxa" w:w="1728"/>
          </w:tcPr>
          <w:p>
            <w:pPr>
              <w:spacing w:after="20" w:before="20"/>
              <w:jc w:val="center"/>
            </w:pPr>
            <w:r>
              <w:rPr>
                <w:rFonts w:ascii="Times New Roman" w:hAnsi="Times New Roman"/>
                <w:sz w:val="16"/>
              </w:rPr>
              <w:t>Scope-rule and reranking result rests on one worked case</w:t>
            </w:r>
          </w:p>
        </w:tc>
        <w:tc>
          <w:tcPr>
            <w:tcW w:type="dxa" w:w="1584"/>
          </w:tcPr>
          <w:p>
            <w:pPr>
              <w:spacing w:after="20" w:before="20"/>
              <w:jc w:val="center"/>
            </w:pPr>
            <w:r>
              <w:rPr>
                <w:rFonts w:ascii="Times New Roman" w:hAnsi="Times New Roman"/>
                <w:sz w:val="16"/>
              </w:rPr>
              <w:t>How far the rank 3→10 demotion generalises</w:t>
            </w:r>
          </w:p>
        </w:tc>
        <w:tc>
          <w:tcPr>
            <w:tcW w:type="dxa" w:w="2016"/>
          </w:tcPr>
          <w:p>
            <w:pPr>
              <w:spacing w:after="20" w:before="20"/>
              <w:jc w:val="center"/>
            </w:pPr>
            <w:r>
              <w:rPr>
                <w:rFonts w:ascii="Times New Roman" w:hAnsi="Times New Roman"/>
                <w:sz w:val="16"/>
              </w:rPr>
              <w:t>Reported as mechanism with named cause, corroborated by [24], not as a rate over queries</w:t>
            </w:r>
          </w:p>
        </w:tc>
      </w:tr>
    </w:tbl>
    <w:p>
      <w:pPr>
        <w:spacing w:after="40" w:before="0" w:line="240" w:lineRule="auto"/>
        <w:jc w:val="both"/>
      </w:pPr>
    </w:p>
    <w:p>
      <w:pPr>
        <w:spacing w:after="80" w:before="0" w:line="240" w:lineRule="auto"/>
        <w:jc w:val="both"/>
      </w:pPr>
      <w:r>
        <w:rPr>
          <w:rFonts w:ascii="Times New Roman" w:hAnsi="Times New Roman"/>
          <w:b w:val="0"/>
          <w:i w:val="0"/>
          <w:sz w:val="20"/>
        </w:rPr>
        <w:t>Three further limits are properties of the evidence: a preliminary spot check of 20 retrieved passages confirmed 17 (85 %) contained the governing section, verifying basic retrieval relevance, though end-to-end generation correctness remains unmeasured and open; the pooled labelled set is not yet of sufficient volume to report; relevance judgements are the authors’ own, not adjudicated by practitioners; and the corpus is weighted towards statute over case law, so precedent-driven questions are likely served worse than figures suggest.</w:t>
      </w:r>
    </w:p>
    <w:p>
      <w:pPr>
        <w:spacing w:after="60" w:before="160" w:line="240" w:lineRule="auto"/>
        <w:jc w:val="center"/>
      </w:pPr>
      <w:r>
        <w:rPr>
          <w:rFonts w:ascii="Times New Roman" w:hAnsi="Times New Roman"/>
          <w:b/>
          <w:i w:val="0"/>
          <w:sz w:val="20"/>
        </w:rPr>
        <w:t>VIII.  CONCLUSION</w:t>
      </w:r>
    </w:p>
    <w:p>
      <w:pPr>
        <w:spacing w:after="80" w:before="0" w:line="240" w:lineRule="auto"/>
        <w:ind w:firstLine="259"/>
        <w:jc w:val="both"/>
      </w:pPr>
      <w:r>
        <w:rPr>
          <w:rFonts w:ascii="Times New Roman" w:hAnsi="Times New Roman"/>
          <w:b w:val="0"/>
          <w:i w:val="0"/>
          <w:sz w:val="20"/>
        </w:rPr>
        <w:t>Retrieval for a low-resource, code-switched jurisdiction is not improved by transplanting an English common-law pipeline, and it is not adequately measured by a single number on a developer-authored evaluation set. Fine-tuning a retriever on domain data gained +26.5 Hit@1 on its own distribution and +2.4 where the question style changed; a second model initially showed an apparent +16.5 in-distribution gain before its in-distribution metric was identified as target-leaked and excluded from clean baseline comparisons, collapsing to −0.3 on clean out-of-distribution evaluation. The +6.6 Hit@1 gain under fusion is the largest improvement that remains after applying full leakage and distribution-shift checks.</w:t>
      </w:r>
    </w:p>
    <w:p>
      <w:pPr>
        <w:spacing w:after="80" w:before="0" w:line="240" w:lineRule="auto"/>
        <w:ind w:firstLine="259"/>
        <w:jc w:val="both"/>
      </w:pPr>
      <w:r>
        <w:rPr>
          <w:rFonts w:ascii="Times New Roman" w:hAnsi="Times New Roman"/>
          <w:b w:val="0"/>
          <w:i w:val="0"/>
          <w:sz w:val="20"/>
        </w:rPr>
        <w:t>Every evaluation asset used here is developer-authored or generator-derived, so we cannot yet prove an improvement in what users actually receive. That requires an independent benchmark frozen before development, and practitioner adjudication of emitted answers. For a system whose purpose is to tell people what the law says, that is not an extension of the work. It is the work.</w:t>
      </w:r>
    </w:p>
    <w:p>
      <w:pPr>
        <w:spacing w:after="60" w:before="120" w:line="240" w:lineRule="auto"/>
        <w:jc w:val="center"/>
      </w:pPr>
      <w:r>
        <w:rPr>
          <w:rFonts w:ascii="Times New Roman" w:hAnsi="Times New Roman"/>
          <w:b/>
          <w:i w:val="0"/>
          <w:sz w:val="20"/>
        </w:rPr>
        <w:t>ETHICAL CONSIDERATIONS</w:t>
      </w:r>
    </w:p>
    <w:p>
      <w:pPr>
        <w:spacing w:after="80" w:before="0" w:line="240" w:lineRule="auto"/>
        <w:jc w:val="both"/>
      </w:pPr>
      <w:r>
        <w:rPr>
          <w:rFonts w:ascii="Times New Roman" w:hAnsi="Times New Roman"/>
          <w:b w:val="0"/>
          <w:i w:val="0"/>
          <w:sz w:val="20"/>
        </w:rPr>
        <w:t>The system provides legal information, not legal advice. Every answer carries a disclaimer directing users to a qualified practitioner; refusal is a first-class outcome; stored records mask personally identifying information. No real user data appears in any figure, table, or example query in this paper.</w:t>
      </w:r>
    </w:p>
    <w:p>
      <w:pPr>
        <w:spacing w:after="60" w:before="120" w:line="240" w:lineRule="auto"/>
        <w:jc w:val="center"/>
      </w:pPr>
      <w:r>
        <w:rPr>
          <w:rFonts w:ascii="Times New Roman" w:hAnsi="Times New Roman"/>
          <w:b/>
          <w:i w:val="0"/>
          <w:sz w:val="20"/>
        </w:rPr>
        <w:t>CODE AND DATA AVAILABILITY</w:t>
      </w:r>
    </w:p>
    <w:p>
      <w:pPr>
        <w:spacing w:after="80" w:line="240" w:lineRule="auto"/>
        <w:jc w:val="both"/>
      </w:pPr>
      <w:r>
        <w:rPr>
          <w:rFonts w:ascii="Times New Roman" w:hAnsi="Times New Roman"/>
          <w:b w:val="0"/>
          <w:i w:val="0"/>
          <w:sz w:val="20"/>
        </w:rPr>
        <w:t xml:space="preserve">Ingestion pipelines, contamination-detection scripts, fine-tuning configurations, the 5,883-pair citation corpus, and the 592-question evaluation set are anonymized for double-blind review (source code and model weights are included in the supplementary review package). Upon camera-ready publication, open-source repositories will be activated at </w:t>
      </w:r>
      <w:hyperlink r:id="rId15">
        <w:r>
          <w:rPr>
            <w:color w:val="000000"/>
            <w:rFonts w:ascii="Times New Roman" w:hAnsi="Times New Roman"/>
            <w:sz w:val="20"/>
          </w:rPr>
          <w:t xml:space="preserve">https://github.com/anonymous/attorney-ai</w:t>
        </w:r>
      </w:hyperlink>
      <w:r>
        <w:rPr>
          <w:rFonts w:ascii="Times New Roman" w:hAnsi="Times New Roman"/>
          <w:b w:val="0"/>
          <w:i w:val="0"/>
          <w:sz w:val="20"/>
        </w:rPr>
        <w:t xml:space="preserve"> and fine-tuned models at </w:t>
      </w:r>
      <w:hyperlink r:id="rId16">
        <w:r>
          <w:rPr>
            <w:color w:val="000000"/>
            <w:rFonts w:ascii="Times New Roman" w:hAnsi="Times New Roman"/>
            <w:sz w:val="20"/>
          </w:rPr>
          <w:t xml:space="preserve">https://huggingface.co/anonymous/legal-retriever-pk</w:t>
        </w:r>
      </w:hyperlink>
      <w:r>
        <w:rPr>
          <w:rFonts w:ascii="Times New Roman" w:hAnsi="Times New Roman"/>
          <w:b w:val="0"/>
          <w:i w:val="0"/>
          <w:sz w:val="20"/>
        </w:rPr>
        <w:t>.</w:t>
      </w:r>
      <w:r>
        <w:rPr>
          <w:rFonts w:ascii="Times New Roman" w:hAnsi="Times New Roman"/>
          <w:b w:val="0"/>
          <w:i w:val="0"/>
          <w:sz w:val="20"/>
        </w:rPr>
        <w:t xml:space="preserve"> The underlying statute and judgment corpora are third-party datasets cited in [16]–[18]; we do not redistribute raw source files.</w:t>
      </w:r>
    </w:p>
    <w:p>
      <w:pPr>
        <w:spacing w:after="60" w:before="120" w:line="240" w:lineRule="auto"/>
        <w:jc w:val="center"/>
      </w:pPr>
      <w:r>
        <w:rPr>
          <w:rFonts w:ascii="Times New Roman" w:hAnsi="Times New Roman"/>
          <w:b/>
          <w:i w:val="0"/>
          <w:sz w:val="20"/>
        </w:rPr>
        <w:t>REFERENCES</w:t>
      </w:r>
    </w:p>
    <w:p>
      <w:pPr>
        <w:spacing w:after="40" w:before="0" w:line="240" w:lineRule="auto"/>
        <w:ind w:left="317" w:hanging="317"/>
        <w:jc w:val="both"/>
      </w:pPr>
      <w:bookmarkStart w:id="1001" w:name="ref_1"/>
      <w:r>
        <w:rPr>
          <w:rFonts w:ascii="Times New Roman" w:hAnsi="Times New Roman"/>
          <w:b w:val="0"/>
          <w:i w:val="0"/>
          <w:sz w:val="16"/>
        </w:rPr>
        <w:t xml:space="preserve">[1] P. Lewis et al., “Retrieval-augmented generation for knowledge-intensive NLP,” in Proc. NeurIPS, 2020. [Online]. Available: </w:t>
      </w:r>
      <w:hyperlink r:id="rId17">
        <w:r>
          <w:rPr>
            <w:color w:val="000000"/>
            <w:rFonts w:ascii="Times New Roman" w:hAnsi="Times New Roman"/>
            <w:sz w:val="16"/>
          </w:rPr>
          <w:t xml:space="preserve">https://arxiv.org/abs/2005.11401</w:t>
        </w:r>
      </w:hyperlink>
      <w:bookmarkEnd w:id="1001"/>
    </w:p>
    <w:p>
      <w:pPr>
        <w:spacing w:after="40" w:before="0" w:line="240" w:lineRule="auto"/>
        <w:ind w:left="317" w:hanging="317"/>
        <w:jc w:val="both"/>
      </w:pPr>
      <w:bookmarkStart w:id="1002" w:name="ref_2"/>
      <w:r>
        <w:rPr>
          <w:rFonts w:ascii="Times New Roman" w:hAnsi="Times New Roman"/>
          <w:b w:val="0"/>
          <w:i w:val="0"/>
          <w:sz w:val="16"/>
        </w:rPr>
        <w:t xml:space="preserve">[2] I. Chalkidis et al., “LEGAL-BERT: The muppets straight out of law school,” in Findings of EMNLP, 2020, pp. 2898–2904. [Online]. Available: </w:t>
      </w:r>
      <w:hyperlink r:id="rId18">
        <w:r>
          <w:rPr>
            <w:color w:val="000000"/>
            <w:rFonts w:ascii="Times New Roman" w:hAnsi="Times New Roman"/>
            <w:sz w:val="16"/>
          </w:rPr>
          <w:t xml:space="preserve">https://doi.org/10.18653/v1/2020.findings-emnlp.138</w:t>
        </w:r>
      </w:hyperlink>
      <w:bookmarkEnd w:id="1002"/>
    </w:p>
    <w:p>
      <w:pPr>
        <w:spacing w:after="40" w:before="0" w:line="240" w:lineRule="auto"/>
        <w:ind w:left="317" w:hanging="317"/>
        <w:jc w:val="both"/>
      </w:pPr>
      <w:bookmarkStart w:id="1003" w:name="ref_3"/>
      <w:r>
        <w:rPr>
          <w:rFonts w:ascii="Times New Roman" w:hAnsi="Times New Roman"/>
          <w:b w:val="0"/>
          <w:i w:val="0"/>
          <w:sz w:val="16"/>
        </w:rPr>
        <w:t xml:space="preserve">[3] N. Guha et al., “LegalBench: A collaboratively built benchmark for measuring legal reasoning in large language models,” in Proc. NeurIPS, 2023. [Online]. Available: </w:t>
      </w:r>
      <w:hyperlink r:id="rId19">
        <w:r>
          <w:rPr>
            <w:color w:val="000000"/>
            <w:rFonts w:ascii="Times New Roman" w:hAnsi="Times New Roman"/>
            <w:sz w:val="16"/>
          </w:rPr>
          <w:t xml:space="preserve">https://arxiv.org/abs/2308.11462</w:t>
        </w:r>
      </w:hyperlink>
      <w:bookmarkEnd w:id="1003"/>
    </w:p>
    <w:p>
      <w:pPr>
        <w:spacing w:after="40" w:before="0" w:line="240" w:lineRule="auto"/>
        <w:ind w:left="317" w:hanging="317"/>
        <w:jc w:val="both"/>
      </w:pPr>
      <w:bookmarkStart w:id="1004" w:name="ref_4"/>
      <w:r>
        <w:rPr>
          <w:rFonts w:ascii="Times New Roman" w:hAnsi="Times New Roman"/>
          <w:b w:val="0"/>
          <w:i w:val="0"/>
          <w:sz w:val="16"/>
        </w:rPr>
        <w:t xml:space="preserve">[4] S. Ma et al., “LeCaRD: A legal case retrieval dataset for Chinese law,” in Proc. ACM SIGIR, 2021, pp. 2348–2354. [Online]. Available: </w:t>
      </w:r>
      <w:hyperlink r:id="rId20">
        <w:r>
          <w:rPr>
            <w:color w:val="000000"/>
            <w:rFonts w:ascii="Times New Roman" w:hAnsi="Times New Roman"/>
            <w:sz w:val="16"/>
          </w:rPr>
          <w:t xml:space="preserve">https://doi.org/10.1145/3404835.3462875</w:t>
        </w:r>
      </w:hyperlink>
      <w:bookmarkEnd w:id="1004"/>
    </w:p>
    <w:p>
      <w:pPr>
        <w:spacing w:after="40" w:before="0" w:line="240" w:lineRule="auto"/>
        <w:ind w:left="317" w:hanging="317"/>
        <w:jc w:val="both"/>
      </w:pPr>
      <w:bookmarkStart w:id="1005" w:name="ref_5"/>
      <w:r>
        <w:rPr>
          <w:rFonts w:ascii="Times New Roman" w:hAnsi="Times New Roman"/>
          <w:b w:val="0"/>
          <w:i w:val="0"/>
          <w:sz w:val="16"/>
        </w:rPr>
        <w:t xml:space="preserve">[5] V. Karpukhin et al., “Dense passage retrieval for open-domain question answering,” in Proc. EMNLP, 2020, pp. 6769–6781. [Online]. Available: </w:t>
      </w:r>
      <w:hyperlink r:id="rId21">
        <w:r>
          <w:rPr>
            <w:color w:val="000000"/>
            <w:rFonts w:ascii="Times New Roman" w:hAnsi="Times New Roman"/>
            <w:sz w:val="16"/>
          </w:rPr>
          <w:t xml:space="preserve">https://doi.org/10.18653/v1/2020.emnlp-main.550</w:t>
        </w:r>
      </w:hyperlink>
      <w:bookmarkEnd w:id="1005"/>
    </w:p>
    <w:p>
      <w:pPr>
        <w:spacing w:after="40" w:before="0" w:line="240" w:lineRule="auto"/>
        <w:ind w:left="317" w:hanging="317"/>
        <w:jc w:val="both"/>
      </w:pPr>
      <w:bookmarkStart w:id="1006" w:name="ref_6"/>
      <w:r>
        <w:rPr>
          <w:rFonts w:ascii="Times New Roman" w:hAnsi="Times New Roman"/>
          <w:b w:val="0"/>
          <w:i w:val="0"/>
          <w:sz w:val="16"/>
        </w:rPr>
        <w:t xml:space="preserve">[6] A. Asai et al., “Self-RAG: Learning to retrieve, generate, and critique through self-reflection,” in Proc. ICLR, 2024. [Online]. Available: </w:t>
      </w:r>
      <w:hyperlink r:id="rId22">
        <w:r>
          <w:rPr>
            <w:color w:val="000000"/>
            <w:rFonts w:ascii="Times New Roman" w:hAnsi="Times New Roman"/>
            <w:sz w:val="16"/>
          </w:rPr>
          <w:t xml:space="preserve">https://arxiv.org/abs/2310.11511</w:t>
        </w:r>
      </w:hyperlink>
      <w:bookmarkEnd w:id="1006"/>
    </w:p>
    <w:p>
      <w:pPr>
        <w:spacing w:after="40" w:before="0" w:line="240" w:lineRule="auto"/>
        <w:ind w:left="317" w:hanging="317"/>
        <w:jc w:val="both"/>
      </w:pPr>
      <w:bookmarkStart w:id="1007" w:name="ref_7"/>
      <w:r>
        <w:rPr>
          <w:rFonts w:ascii="Times New Roman" w:hAnsi="Times New Roman"/>
          <w:b w:val="0"/>
          <w:i w:val="0"/>
          <w:sz w:val="16"/>
        </w:rPr>
        <w:t xml:space="preserve">[7] L. Wang et al., “Multilingual E5 text embeddings: A technical report,” 2024, arXiv:2402.05672. [Online]. Available: </w:t>
      </w:r>
      <w:hyperlink r:id="rId23">
        <w:r>
          <w:rPr>
            <w:color w:val="000000"/>
            <w:rFonts w:ascii="Times New Roman" w:hAnsi="Times New Roman"/>
            <w:sz w:val="16"/>
          </w:rPr>
          <w:t xml:space="preserve">https://arxiv.org/abs/2402.05672</w:t>
        </w:r>
      </w:hyperlink>
      <w:bookmarkEnd w:id="1007"/>
    </w:p>
    <w:p>
      <w:pPr>
        <w:spacing w:after="40" w:before="0" w:line="240" w:lineRule="auto"/>
        <w:ind w:left="317" w:hanging="317"/>
        <w:jc w:val="both"/>
      </w:pPr>
      <w:bookmarkStart w:id="1008" w:name="ref_8"/>
      <w:r>
        <w:rPr>
          <w:rFonts w:ascii="Times New Roman" w:hAnsi="Times New Roman"/>
          <w:b w:val="0"/>
          <w:i w:val="0"/>
          <w:sz w:val="16"/>
        </w:rPr>
        <w:t xml:space="preserve">[8] S. Robertson and H. Zaragoza, “The probabilistic relevance framework: BM25 and beyond,” Found. Trends Inf. Retr., vol. 3, no. 4, pp. 333–389, 2009. [Online]. Available: </w:t>
      </w:r>
      <w:hyperlink r:id="rId24">
        <w:r>
          <w:rPr>
            <w:color w:val="000000"/>
            <w:rFonts w:ascii="Times New Roman" w:hAnsi="Times New Roman"/>
            <w:sz w:val="16"/>
          </w:rPr>
          <w:t xml:space="preserve">https://doi.org/10.1561/1500000019</w:t>
        </w:r>
      </w:hyperlink>
      <w:bookmarkEnd w:id="1008"/>
    </w:p>
    <w:p>
      <w:pPr>
        <w:spacing w:after="40" w:before="0" w:line="240" w:lineRule="auto"/>
        <w:ind w:left="317" w:hanging="317"/>
        <w:jc w:val="both"/>
      </w:pPr>
      <w:bookmarkStart w:id="1009" w:name="ref_9"/>
      <w:r>
        <w:rPr>
          <w:rFonts w:ascii="Times New Roman" w:hAnsi="Times New Roman"/>
          <w:b w:val="0"/>
          <w:i w:val="0"/>
          <w:sz w:val="16"/>
        </w:rPr>
        <w:t xml:space="preserve">[9] G. V. Cormack, C. L. A. Clarke, and S. Büttcher, “Reciprocal rank fusion outperforms Condorcet and individual rank learning methods,” in Proc. ACM SIGIR, 2009, pp. 758–759. [Online]. Available: </w:t>
      </w:r>
      <w:hyperlink r:id="rId25">
        <w:r>
          <w:rPr>
            <w:color w:val="000000"/>
            <w:rFonts w:ascii="Times New Roman" w:hAnsi="Times New Roman"/>
            <w:sz w:val="16"/>
          </w:rPr>
          <w:t xml:space="preserve">https://doi.org/10.1145/1571941.1572114</w:t>
        </w:r>
      </w:hyperlink>
      <w:bookmarkEnd w:id="1009"/>
    </w:p>
    <w:p>
      <w:pPr>
        <w:spacing w:after="40" w:before="0" w:line="240" w:lineRule="auto"/>
        <w:ind w:left="317" w:hanging="317"/>
        <w:jc w:val="both"/>
      </w:pPr>
      <w:bookmarkStart w:id="1010" w:name="ref_10"/>
      <w:r>
        <w:rPr>
          <w:rFonts w:ascii="Times New Roman" w:hAnsi="Times New Roman"/>
          <w:b w:val="0"/>
          <w:i w:val="0"/>
          <w:sz w:val="16"/>
        </w:rPr>
        <w:t xml:space="preserve">[10] N. Thakur, N. Reimers, A. Rücklé, A. Srivastava, and I. Gurevych, “BEIR: A heterogeneous benchmark for zero-shot evaluation of information retrieval models,” in Proc. NeurIPS Datasets and Benchmarks Track, 2021. [Online]. Available: </w:t>
      </w:r>
      <w:hyperlink r:id="rId26">
        <w:r>
          <w:rPr>
            <w:color w:val="000000"/>
            <w:rFonts w:ascii="Times New Roman" w:hAnsi="Times New Roman"/>
            <w:sz w:val="16"/>
          </w:rPr>
          <w:t xml:space="preserve">https://arxiv.org/abs/2104.08663</w:t>
        </w:r>
      </w:hyperlink>
      <w:bookmarkEnd w:id="1010"/>
    </w:p>
    <w:p>
      <w:pPr>
        <w:spacing w:after="40" w:before="0" w:line="240" w:lineRule="auto"/>
        <w:ind w:left="317" w:hanging="317"/>
        <w:jc w:val="both"/>
      </w:pPr>
      <w:bookmarkStart w:id="1011" w:name="ref_11"/>
      <w:r>
        <w:rPr>
          <w:rFonts w:ascii="Times New Roman" w:hAnsi="Times New Roman"/>
          <w:b w:val="0"/>
          <w:i w:val="0"/>
          <w:sz w:val="16"/>
        </w:rPr>
        <w:t xml:space="preserve">[11] N. Muennighoff, N. Tazi, L. Magne, and N. Reimers, “MTEB: Massive text embedding benchmark,” in Proc. EACL, 2023, pp. 2014–2037. [Online]. Available: </w:t>
      </w:r>
      <w:hyperlink r:id="rId27">
        <w:r>
          <w:rPr>
            <w:color w:val="000000"/>
            <w:rFonts w:ascii="Times New Roman" w:hAnsi="Times New Roman"/>
            <w:sz w:val="16"/>
          </w:rPr>
          <w:t xml:space="preserve">https://doi.org/10.18653/v1/2023.eacl-main.148</w:t>
        </w:r>
      </w:hyperlink>
      <w:bookmarkEnd w:id="1011"/>
    </w:p>
    <w:p>
      <w:pPr>
        <w:spacing w:after="40" w:before="0" w:line="240" w:lineRule="auto"/>
        <w:ind w:left="317" w:hanging="317"/>
        <w:jc w:val="both"/>
      </w:pPr>
      <w:bookmarkStart w:id="1012" w:name="ref_12"/>
      <w:r>
        <w:rPr>
          <w:rFonts w:ascii="Times New Roman" w:hAnsi="Times New Roman"/>
          <w:b w:val="0"/>
          <w:i w:val="0"/>
          <w:sz w:val="16"/>
        </w:rPr>
        <w:t xml:space="preserve">[12] I. Magar and R. Schwartz, “Data contamination: From memorization to exploitation,” in Proc. ACL, 2022, pp. 157–165. [Online]. Available: </w:t>
      </w:r>
      <w:hyperlink r:id="rId28">
        <w:r>
          <w:rPr>
            <w:color w:val="000000"/>
            <w:rFonts w:ascii="Times New Roman" w:hAnsi="Times New Roman"/>
            <w:sz w:val="16"/>
          </w:rPr>
          <w:t xml:space="preserve">https://doi.org/10.18653/v1/2022.acl-long.539</w:t>
        </w:r>
      </w:hyperlink>
      <w:bookmarkEnd w:id="1012"/>
    </w:p>
    <w:p>
      <w:pPr>
        <w:spacing w:after="40" w:before="0" w:line="240" w:lineRule="auto"/>
        <w:ind w:left="317" w:hanging="317"/>
        <w:jc w:val="both"/>
      </w:pPr>
      <w:bookmarkStart w:id="1013" w:name="ref_13"/>
      <w:r>
        <w:rPr>
          <w:rFonts w:ascii="Times New Roman" w:hAnsi="Times New Roman"/>
          <w:b w:val="0"/>
          <w:i w:val="0"/>
          <w:sz w:val="16"/>
        </w:rPr>
        <w:t xml:space="preserve">[13] O. Sainz, J. A. Campos, I. García-Ferrero, J. Etxaniz, O. L. de Lacalle, and E. Agirre, “NLP evaluation in trouble: On the need to measure LLM data contamination for each benchmark,” in Findings of EMNLP, 2023, pp. 10746–10756. [Online]. Available: </w:t>
      </w:r>
      <w:hyperlink r:id="rId29">
        <w:r>
          <w:rPr>
            <w:color w:val="000000"/>
            <w:rFonts w:ascii="Times New Roman" w:hAnsi="Times New Roman"/>
            <w:sz w:val="16"/>
          </w:rPr>
          <w:t xml:space="preserve">https://doi.org/10.18653/v1/2023.findings-emnlp.211</w:t>
        </w:r>
      </w:hyperlink>
      <w:bookmarkEnd w:id="1013"/>
    </w:p>
    <w:p>
      <w:pPr>
        <w:spacing w:after="40" w:before="0" w:line="240" w:lineRule="auto"/>
        <w:ind w:left="317" w:hanging="317"/>
        <w:jc w:val="both"/>
      </w:pPr>
      <w:bookmarkStart w:id="1014" w:name="ref_14"/>
      <w:r>
        <w:rPr>
          <w:rFonts w:ascii="Times New Roman" w:hAnsi="Times New Roman"/>
          <w:b w:val="0"/>
          <w:i w:val="0"/>
          <w:sz w:val="16"/>
        </w:rPr>
        <w:t xml:space="preserve">[14] S. Golchin and M. Surdeanu, “Time travel in LLMs: Tracing data contamination in large language models,” in Proc. ICLR, 2024. [Online]. Available: </w:t>
      </w:r>
      <w:hyperlink r:id="rId30">
        <w:r>
          <w:rPr>
            <w:color w:val="000000"/>
            <w:rFonts w:ascii="Times New Roman" w:hAnsi="Times New Roman"/>
            <w:sz w:val="16"/>
          </w:rPr>
          <w:t xml:space="preserve">https://arxiv.org/abs/2308.08493</w:t>
        </w:r>
      </w:hyperlink>
      <w:bookmarkEnd w:id="1014"/>
    </w:p>
    <w:p>
      <w:pPr>
        <w:spacing w:after="40" w:before="0" w:line="240" w:lineRule="auto"/>
        <w:ind w:left="317" w:hanging="317"/>
        <w:jc w:val="both"/>
      </w:pPr>
      <w:bookmarkStart w:id="1015" w:name="ref_15"/>
      <w:r>
        <w:rPr>
          <w:rFonts w:ascii="Times New Roman" w:hAnsi="Times New Roman"/>
          <w:b w:val="0"/>
          <w:i w:val="0"/>
          <w:sz w:val="16"/>
        </w:rPr>
        <w:t xml:space="preserve">[15] C. Deng et al., “Investigating data contamination in modern NLP benchmarks,” in Findings of EMNLP, 2024. [Online]. Available: </w:t>
      </w:r>
      <w:hyperlink r:id="rId31">
        <w:r>
          <w:rPr>
            <w:color w:val="000000"/>
            <w:rFonts w:ascii="Times New Roman" w:hAnsi="Times New Roman"/>
            <w:sz w:val="16"/>
          </w:rPr>
          <w:t xml:space="preserve">https://arxiv.org/abs/2404.00699</w:t>
        </w:r>
      </w:hyperlink>
      <w:bookmarkEnd w:id="1015"/>
    </w:p>
    <w:p>
      <w:pPr>
        <w:spacing w:after="40" w:before="0" w:line="240" w:lineRule="auto"/>
        <w:ind w:left="317" w:hanging="317"/>
        <w:jc w:val="both"/>
      </w:pPr>
      <w:bookmarkStart w:id="1016" w:name="ref_16"/>
      <w:r>
        <w:rPr>
          <w:rFonts w:ascii="Times New Roman" w:hAnsi="Times New Roman"/>
          <w:b w:val="0"/>
          <w:i w:val="0"/>
          <w:sz w:val="16"/>
        </w:rPr>
        <w:t xml:space="preserve">[16] A. Jadoon, “Pakistan Laws Dataset,” HuggingFace, ODC-BY, 2024. [Online]. Available: </w:t>
      </w:r>
      <w:hyperlink r:id="rId32">
        <w:r>
          <w:rPr>
            <w:color w:val="000000"/>
            <w:rFonts w:ascii="Times New Roman" w:hAnsi="Times New Roman"/>
            <w:sz w:val="16"/>
          </w:rPr>
          <w:t xml:space="preserve">https://huggingface.co/datasets/AyeshaJadoon/Pakistan_Laws_Dataset</w:t>
        </w:r>
      </w:hyperlink>
      <w:bookmarkEnd w:id="1016"/>
    </w:p>
    <w:p>
      <w:pPr>
        <w:spacing w:after="40" w:before="0" w:line="240" w:lineRule="auto"/>
        <w:ind w:left="317" w:hanging="317"/>
        <w:jc w:val="both"/>
      </w:pPr>
      <w:bookmarkStart w:id="1017" w:name="ref_17"/>
      <w:r>
        <w:rPr>
          <w:rFonts w:ascii="Times New Roman" w:hAnsi="Times New Roman"/>
          <w:b w:val="0"/>
          <w:i w:val="0"/>
          <w:sz w:val="16"/>
        </w:rPr>
        <w:t xml:space="preserve">[17] Ministry of Law and Justice, Government of Pakistan, “Pakistan Code,” 2026. [Online]. Available: </w:t>
      </w:r>
      <w:hyperlink r:id="rId33">
        <w:r>
          <w:rPr>
            <w:color w:val="000000"/>
            <w:rFonts w:ascii="Times New Roman" w:hAnsi="Times New Roman"/>
            <w:sz w:val="16"/>
          </w:rPr>
          <w:t xml:space="preserve">https://pakistancode.gov.pk/</w:t>
        </w:r>
      </w:hyperlink>
      <w:r>
        <w:rPr>
          <w:rFonts w:ascii="Times New Roman" w:hAnsi="Times New Roman"/>
          <w:b w:val="0"/>
          <w:i w:val="0"/>
          <w:sz w:val="16"/>
        </w:rPr>
        <w:t xml:space="preserve"> (accessed Aug. 2026)</w:t>
      </w:r>
      <w:bookmarkEnd w:id="1017"/>
    </w:p>
    <w:p>
      <w:pPr>
        <w:spacing w:after="40" w:before="0" w:line="240" w:lineRule="auto"/>
        <w:ind w:left="317" w:hanging="317"/>
        <w:jc w:val="both"/>
      </w:pPr>
      <w:bookmarkStart w:id="1018" w:name="ref_18"/>
      <w:r>
        <w:rPr>
          <w:rFonts w:ascii="Times New Roman" w:hAnsi="Times New Roman"/>
          <w:b w:val="0"/>
          <w:i w:val="0"/>
          <w:sz w:val="16"/>
        </w:rPr>
        <w:t xml:space="preserve">[18] F. Faisal and U. Yousaf, “LEGAL-UQA: A low-resource Urdu-English dataset for legal question answering,” 2024, arXiv:2410.13013. [Online]. Available: </w:t>
      </w:r>
      <w:hyperlink r:id="rId34">
        <w:r>
          <w:rPr>
            <w:color w:val="000000"/>
            <w:rFonts w:ascii="Times New Roman" w:hAnsi="Times New Roman"/>
            <w:sz w:val="16"/>
          </w:rPr>
          <w:t xml:space="preserve">https://arxiv.org/abs/2410.13013</w:t>
        </w:r>
      </w:hyperlink>
      <w:bookmarkEnd w:id="1018"/>
    </w:p>
    <w:p>
      <w:pPr>
        <w:spacing w:after="40" w:before="0" w:line="240" w:lineRule="auto"/>
        <w:ind w:left="317" w:hanging="317"/>
        <w:jc w:val="both"/>
      </w:pPr>
      <w:bookmarkStart w:id="1019" w:name="ref_19"/>
      <w:r>
        <w:rPr>
          <w:rFonts w:ascii="Times New Roman" w:hAnsi="Times New Roman"/>
          <w:b w:val="0"/>
          <w:i w:val="0"/>
          <w:sz w:val="16"/>
        </w:rPr>
        <w:t xml:space="preserve">[19] N. Reimers and I. Gurevych, “Sentence-BERT: Sentence embeddings using Siamese BERT-networks,” in Proc. EMNLP, 2019, pp. 3982–3992. [Online]. Available: </w:t>
      </w:r>
      <w:hyperlink r:id="rId35">
        <w:r>
          <w:rPr>
            <w:color w:val="000000"/>
            <w:rFonts w:ascii="Times New Roman" w:hAnsi="Times New Roman"/>
            <w:sz w:val="16"/>
          </w:rPr>
          <w:t xml:space="preserve">https://doi.org/10.18653/v1/D19-1410</w:t>
        </w:r>
      </w:hyperlink>
      <w:bookmarkEnd w:id="1019"/>
    </w:p>
    <w:p>
      <w:pPr>
        <w:spacing w:after="40" w:before="0" w:line="240" w:lineRule="auto"/>
        <w:ind w:left="317" w:hanging="317"/>
        <w:jc w:val="both"/>
      </w:pPr>
      <w:bookmarkStart w:id="1020" w:name="ref_20"/>
      <w:r>
        <w:rPr>
          <w:rFonts w:ascii="Times New Roman" w:hAnsi="Times New Roman"/>
          <w:b w:val="0"/>
          <w:i w:val="0"/>
          <w:sz w:val="16"/>
        </w:rPr>
        <w:t xml:space="preserve">[20] M. Henderson et al., “Efficient natural language response suggestion for Smart Reply,” 2017, arXiv:1705.00652. [Online]. Available: </w:t>
      </w:r>
      <w:hyperlink r:id="rId36">
        <w:r>
          <w:rPr>
            <w:color w:val="000000"/>
            <w:rFonts w:ascii="Times New Roman" w:hAnsi="Times New Roman"/>
            <w:sz w:val="16"/>
          </w:rPr>
          <w:t xml:space="preserve">https://arxiv.org/abs/1705.00652</w:t>
        </w:r>
      </w:hyperlink>
      <w:bookmarkEnd w:id="1020"/>
    </w:p>
    <w:p>
      <w:pPr>
        <w:spacing w:after="40" w:before="0" w:line="240" w:lineRule="auto"/>
        <w:ind w:left="317" w:hanging="317"/>
        <w:jc w:val="both"/>
      </w:pPr>
      <w:bookmarkStart w:id="1021" w:name="ref_21"/>
      <w:r>
        <w:rPr>
          <w:rFonts w:ascii="Times New Roman" w:hAnsi="Times New Roman"/>
          <w:b w:val="0"/>
          <w:i w:val="0"/>
          <w:sz w:val="16"/>
        </w:rPr>
        <w:t xml:space="preserve">[21] Q. McNemar, “Note on the sampling error of the difference between correlated proportions or percentages,” Psychometrika, vol. 12, no. 2, pp. 153–157, 1947. [Online]. Available: </w:t>
      </w:r>
      <w:hyperlink r:id="rId37">
        <w:r>
          <w:rPr>
            <w:color w:val="000000"/>
            <w:rFonts w:ascii="Times New Roman" w:hAnsi="Times New Roman"/>
            <w:sz w:val="16"/>
          </w:rPr>
          <w:t xml:space="preserve">https://doi.org/10.1007/BF02289257</w:t>
        </w:r>
      </w:hyperlink>
      <w:bookmarkEnd w:id="1021"/>
    </w:p>
    <w:p>
      <w:pPr>
        <w:spacing w:after="40" w:before="0" w:line="240" w:lineRule="auto"/>
        <w:ind w:left="317" w:hanging="317"/>
        <w:jc w:val="both"/>
      </w:pPr>
      <w:bookmarkStart w:id="1022" w:name="ref_22"/>
      <w:r>
        <w:rPr>
          <w:rFonts w:ascii="Times New Roman" w:hAnsi="Times New Roman"/>
          <w:b w:val="0"/>
          <w:i w:val="0"/>
          <w:sz w:val="16"/>
        </w:rPr>
        <w:t xml:space="preserve">[22] K. Järvelin and J. Kekäläinen, “Cumulated gain-based evaluation of IR techniques,” ACM Trans. Inf. Syst., vol. 20, no. 4, pp. 422–446, 2002. [Online]. Available: </w:t>
      </w:r>
      <w:hyperlink r:id="rId38">
        <w:r>
          <w:rPr>
            <w:color w:val="000000"/>
            <w:rFonts w:ascii="Times New Roman" w:hAnsi="Times New Roman"/>
            <w:sz w:val="16"/>
          </w:rPr>
          <w:t xml:space="preserve">https://doi.org/10.1145/582415.582418</w:t>
        </w:r>
      </w:hyperlink>
      <w:bookmarkEnd w:id="1022"/>
    </w:p>
    <w:p>
      <w:pPr>
        <w:spacing w:after="40" w:before="0" w:line="240" w:lineRule="auto"/>
        <w:ind w:left="317" w:hanging="317"/>
        <w:jc w:val="both"/>
      </w:pPr>
      <w:bookmarkStart w:id="1023" w:name="ref_23"/>
      <w:r>
        <w:rPr>
          <w:rFonts w:ascii="Times New Roman" w:hAnsi="Times New Roman"/>
          <w:b w:val="0"/>
          <w:i w:val="0"/>
          <w:sz w:val="16"/>
        </w:rPr>
        <w:t xml:space="preserve">[23] R. Nogueira and K. Cho, “Passage re-ranking with BERT,” 2019, arXiv:1901.04085. [Online]. Available: </w:t>
      </w:r>
      <w:hyperlink r:id="rId39">
        <w:r>
          <w:rPr>
            <w:color w:val="000000"/>
            <w:rFonts w:ascii="Times New Roman" w:hAnsi="Times New Roman"/>
            <w:sz w:val="16"/>
          </w:rPr>
          <w:t xml:space="preserve">https://arxiv.org/abs/1901.04085</w:t>
        </w:r>
      </w:hyperlink>
      <w:bookmarkEnd w:id="1023"/>
    </w:p>
    <w:p>
      <w:pPr>
        <w:spacing w:after="40" w:before="0" w:line="240" w:lineRule="auto"/>
        <w:ind w:left="317" w:hanging="317"/>
        <w:jc w:val="both"/>
      </w:pPr>
      <w:bookmarkStart w:id="1024" w:name="ref_24"/>
      <w:r>
        <w:rPr>
          <w:rFonts w:ascii="Times New Roman" w:hAnsi="Times New Roman"/>
          <w:b w:val="0"/>
          <w:i w:val="0"/>
          <w:sz w:val="16"/>
        </w:rPr>
        <w:t xml:space="preserve">[24] A. B. Hou et al., “CLERC: A dataset for U.S. legal case retrieval and retrieval-augmented analysis generation,” in Proc. NAACL, 2025. [Online]. Available: </w:t>
      </w:r>
      <w:hyperlink r:id="rId40">
        <w:r>
          <w:rPr>
            <w:color w:val="000000"/>
            <w:rFonts w:ascii="Times New Roman" w:hAnsi="Times New Roman"/>
            <w:sz w:val="16"/>
          </w:rPr>
          <w:t xml:space="preserve">https://arxiv.org/abs/2406.17186</w:t>
        </w:r>
      </w:hyperlink>
      <w:bookmarkEnd w:id="1024"/>
    </w:p>
    <w:p>
      <w:pPr>
        <w:spacing w:after="40" w:before="0" w:line="240" w:lineRule="auto"/>
        <w:ind w:left="317" w:hanging="317"/>
        <w:jc w:val="both"/>
      </w:pPr>
      <w:bookmarkStart w:id="1025" w:name="ref_25"/>
      <w:r>
        <w:rPr>
          <w:rFonts w:ascii="Times New Roman" w:hAnsi="Times New Roman"/>
          <w:b w:val="0"/>
          <w:i w:val="0"/>
          <w:sz w:val="16"/>
        </w:rPr>
        <w:t xml:space="preserve">[25] S. Geifman and R. El-Yaniv, “Selective classification for deep neural networks,” in Proc. NeurIPS, 2017, pp. 4878–4887. [Online]. Available: </w:t>
      </w:r>
      <w:hyperlink r:id="rId41">
        <w:r>
          <w:rPr>
            <w:color w:val="000000"/>
            <w:rFonts w:ascii="Times New Roman" w:hAnsi="Times New Roman"/>
            <w:sz w:val="16"/>
          </w:rPr>
          <w:t xml:space="preserve">https://arxiv.org/abs/1705.08500</w:t>
        </w:r>
      </w:hyperlink>
      <w:bookmarkEnd w:id="1025"/>
    </w:p>
    <w:p>
      <w:pPr>
        <w:spacing w:after="40" w:before="0" w:line="240" w:lineRule="auto"/>
        <w:ind w:left="317" w:hanging="317"/>
        <w:jc w:val="both"/>
      </w:pPr>
      <w:bookmarkStart w:id="1026" w:name="ref_26"/>
      <w:r>
        <w:rPr>
          <w:rFonts w:ascii="Times New Roman" w:hAnsi="Times New Roman"/>
          <w:b w:val="0"/>
          <w:i w:val="0"/>
          <w:sz w:val="16"/>
        </w:rPr>
        <w:t>[26] K. Krippendorff, Content Analysis: An Introduction to Its Methodology, 2nd ed. Thousand Oaks, CA: Sage Publications, 2004.</w:t>
      </w:r>
      <w:bookmarkEnd w:id="1026"/>
    </w:p>
    <w:p>
      <w:pPr>
        <w:spacing w:after="40" w:before="0" w:line="240" w:lineRule="auto"/>
        <w:ind w:left="317" w:hanging="317"/>
        <w:jc w:val="both"/>
      </w:pPr>
      <w:bookmarkStart w:id="1027" w:name="ref_27"/>
      <w:r>
        <w:rPr>
          <w:rFonts w:ascii="Times New Roman" w:hAnsi="Times New Roman"/>
          <w:b w:val="0"/>
          <w:i w:val="0"/>
          <w:sz w:val="16"/>
        </w:rPr>
        <w:t xml:space="preserve">[27] A. B. Hou et al., “Enhancing Legal LLMs through Metadata-Enriched RAG Pipelines and Direct Preference Optimization,” 2026, arXiv:2603.19251. [Online]. Available: </w:t>
      </w:r>
      <w:hyperlink r:id="rId42">
        <w:r>
          <w:rPr>
            <w:color w:val="000000"/>
            <w:rFonts w:ascii="Times New Roman" w:hAnsi="Times New Roman"/>
            <w:sz w:val="16"/>
          </w:rPr>
          <w:t xml:space="preserve">https://arxiv.org/abs/2603.19251</w:t>
        </w:r>
      </w:hyperlink>
      <w:bookmarkEnd w:id="1027"/>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uhammadusamahoyrr@gmail.com" TargetMode="External"/><Relationship Id="rId10" Type="http://schemas.openxmlformats.org/officeDocument/2006/relationships/hyperlink" Target="mailto:kzari898@gmail.co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anonymous/attorney-ai" TargetMode="External"/><Relationship Id="rId16" Type="http://schemas.openxmlformats.org/officeDocument/2006/relationships/hyperlink" Target="https://huggingface.co/anonymous/legal-retriever-pk" TargetMode="External"/><Relationship Id="rId17" Type="http://schemas.openxmlformats.org/officeDocument/2006/relationships/hyperlink" Target="https://arxiv.org/abs/2005.11401" TargetMode="External"/><Relationship Id="rId18" Type="http://schemas.openxmlformats.org/officeDocument/2006/relationships/hyperlink" Target="https://doi.org/10.18653/v1/2020.findings-emnlp.138" TargetMode="External"/><Relationship Id="rId19" Type="http://schemas.openxmlformats.org/officeDocument/2006/relationships/hyperlink" Target="https://arxiv.org/abs/2308.11462" TargetMode="External"/><Relationship Id="rId20" Type="http://schemas.openxmlformats.org/officeDocument/2006/relationships/hyperlink" Target="https://doi.org/10.1145/3404835.3462875" TargetMode="External"/><Relationship Id="rId21" Type="http://schemas.openxmlformats.org/officeDocument/2006/relationships/hyperlink" Target="https://doi.org/10.18653/v1/2020.emnlp-main.550" TargetMode="External"/><Relationship Id="rId22" Type="http://schemas.openxmlformats.org/officeDocument/2006/relationships/hyperlink" Target="https://arxiv.org/abs/2310.11511" TargetMode="External"/><Relationship Id="rId23" Type="http://schemas.openxmlformats.org/officeDocument/2006/relationships/hyperlink" Target="https://arxiv.org/abs/2402.05672" TargetMode="External"/><Relationship Id="rId24" Type="http://schemas.openxmlformats.org/officeDocument/2006/relationships/hyperlink" Target="https://doi.org/10.1561/1500000019" TargetMode="External"/><Relationship Id="rId25" Type="http://schemas.openxmlformats.org/officeDocument/2006/relationships/hyperlink" Target="https://doi.org/10.1145/1571941.1572114" TargetMode="External"/><Relationship Id="rId26" Type="http://schemas.openxmlformats.org/officeDocument/2006/relationships/hyperlink" Target="https://arxiv.org/abs/2104.08663" TargetMode="External"/><Relationship Id="rId27" Type="http://schemas.openxmlformats.org/officeDocument/2006/relationships/hyperlink" Target="https://doi.org/10.18653/v1/2023.eacl-main.148" TargetMode="External"/><Relationship Id="rId28" Type="http://schemas.openxmlformats.org/officeDocument/2006/relationships/hyperlink" Target="https://doi.org/10.18653/v1/2022.acl-long.539" TargetMode="External"/><Relationship Id="rId29" Type="http://schemas.openxmlformats.org/officeDocument/2006/relationships/hyperlink" Target="https://doi.org/10.18653/v1/2023.findings-emnlp.211" TargetMode="External"/><Relationship Id="rId30" Type="http://schemas.openxmlformats.org/officeDocument/2006/relationships/hyperlink" Target="https://arxiv.org/abs/2308.08493" TargetMode="External"/><Relationship Id="rId31" Type="http://schemas.openxmlformats.org/officeDocument/2006/relationships/hyperlink" Target="https://arxiv.org/abs/2404.00699" TargetMode="External"/><Relationship Id="rId32" Type="http://schemas.openxmlformats.org/officeDocument/2006/relationships/hyperlink" Target="https://huggingface.co/datasets/AyeshaJadoon/Pakistan_Laws_Dataset" TargetMode="External"/><Relationship Id="rId33" Type="http://schemas.openxmlformats.org/officeDocument/2006/relationships/hyperlink" Target="https://pakistancode.gov.pk/" TargetMode="External"/><Relationship Id="rId34" Type="http://schemas.openxmlformats.org/officeDocument/2006/relationships/hyperlink" Target="https://arxiv.org/abs/2410.13013" TargetMode="External"/><Relationship Id="rId35" Type="http://schemas.openxmlformats.org/officeDocument/2006/relationships/hyperlink" Target="https://doi.org/10.18653/v1/D19-1410" TargetMode="External"/><Relationship Id="rId36" Type="http://schemas.openxmlformats.org/officeDocument/2006/relationships/hyperlink" Target="https://arxiv.org/abs/1705.00652" TargetMode="External"/><Relationship Id="rId37" Type="http://schemas.openxmlformats.org/officeDocument/2006/relationships/hyperlink" Target="https://doi.org/10.1007/BF02289257" TargetMode="External"/><Relationship Id="rId38" Type="http://schemas.openxmlformats.org/officeDocument/2006/relationships/hyperlink" Target="https://doi.org/10.1145/582415.582418" TargetMode="External"/><Relationship Id="rId39" Type="http://schemas.openxmlformats.org/officeDocument/2006/relationships/hyperlink" Target="https://arxiv.org/abs/1901.04085" TargetMode="External"/><Relationship Id="rId40" Type="http://schemas.openxmlformats.org/officeDocument/2006/relationships/hyperlink" Target="https://arxiv.org/abs/2406.17186" TargetMode="External"/><Relationship Id="rId41" Type="http://schemas.openxmlformats.org/officeDocument/2006/relationships/hyperlink" Target="https://arxiv.org/abs/1705.08500" TargetMode="External"/><Relationship Id="rId42" Type="http://schemas.openxmlformats.org/officeDocument/2006/relationships/hyperlink" Target="https://arxiv.org/abs/2603.19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