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b w:val="0"/>
          <w:i w:val="0"/>
          <w:sz w:val="48"/>
        </w:rPr>
        <w:t>Grounded and Auditable: Tool-Augmented Retrieval-Generation with Selective Abstention for Legal Question Answering in Low-Resource, Code-Switched Jurisdictions</w:t>
      </w:r>
    </w:p>
    <w:p>
      <w:pPr>
        <w:spacing w:after="0" w:before="0" w:line="240" w:lineRule="auto"/>
        <w:jc w:val="center"/>
      </w:pPr>
      <w:r>
        <w:rPr>
          <w:rFonts w:ascii="Times New Roman" w:hAnsi="Times New Roman"/>
          <w:b w:val="0"/>
          <w:i w:val="0"/>
          <w:sz w:val="22"/>
        </w:rPr>
        <w:t>Muhammad Usama</w:t>
      </w:r>
    </w:p>
    <w:p>
      <w:pPr>
        <w:spacing w:after="0" w:before="0" w:line="240" w:lineRule="auto"/>
        <w:jc w:val="center"/>
      </w:pPr>
      <w:r>
        <w:rPr>
          <w:rFonts w:ascii="Times New Roman" w:hAnsi="Times New Roman"/>
          <w:b w:val="0"/>
          <w:i/>
          <w:sz w:val="20"/>
        </w:rPr>
        <w:t>Department of Computer Science</w:t>
      </w:r>
    </w:p>
    <w:p>
      <w:pPr>
        <w:spacing w:after="0" w:before="0" w:line="240" w:lineRule="auto"/>
        <w:jc w:val="center"/>
      </w:pPr>
      <w:r>
        <w:rPr>
          <w:rFonts w:ascii="Times New Roman" w:hAnsi="Times New Roman"/>
          <w:b w:val="0"/>
          <w:i/>
          <w:sz w:val="20"/>
        </w:rPr>
        <w:t>COMSATS University Islamabad</w:t>
      </w:r>
    </w:p>
    <w:p>
      <w:pPr>
        <w:spacing w:after="0" w:before="0" w:line="240" w:lineRule="auto"/>
        <w:jc w:val="center"/>
      </w:pPr>
      <w:r>
        <w:rPr>
          <w:rFonts w:ascii="Times New Roman" w:hAnsi="Times New Roman"/>
          <w:b w:val="0"/>
          <w:i w:val="0"/>
          <w:sz w:val="20"/>
        </w:rPr>
        <w:t>Islamabad, Pakistan</w:t>
      </w:r>
    </w:p>
    <w:p>
      <w:pPr>
        <w:spacing w:after="120" w:before="0" w:line="240" w:lineRule="auto"/>
        <w:jc w:val="center"/>
      </w:pPr>
      <w:r>
        <w:rPr>
          <w:rFonts w:ascii="Times New Roman" w:hAnsi="Times New Roman"/>
          <w:b w:val="0"/>
          <w:i w:val="0"/>
          <w:sz w:val="20"/>
        </w:rPr>
        <w:t>muhammadusamahoyrr@gmail.com</w:t>
      </w:r>
    </w:p>
    <w:p>
      <w:pPr>
        <w:spacing w:after="80" w:line="240" w:lineRule="auto"/>
        <w:jc w:val="center"/>
      </w:pPr>
      <w:r>
        <w:rPr>
          <w:rFonts w:ascii="Times New Roman" w:hAnsi="Times New Roman"/>
          <w:b/>
          <w:i w:val="0"/>
          <w:color w:val="C00000"/>
          <w:sz w:val="20"/>
        </w:rPr>
        <w:t>[TODO: add supervisor as co-author — name, affiliation, email. Confirm whether FIT review is double-blind; if so, remove this entire author block.]</w:t>
      </w:r>
    </w:p>
    <w:p>
      <w:pPr>
        <w:sectPr>
          <w:pgSz w:w="12240" w:h="15840"/>
          <w:pgMar w:top="1080" w:right="900" w:bottom="1440" w:left="900" w:header="720" w:footer="720" w:gutter="0"/>
          <w:cols w:space="360" w:num="1" w:equalWidth="1"/>
          <w:docGrid w:linePitch="360"/>
        </w:sectPr>
      </w:pPr>
    </w:p>
    <w:p>
      <w:pPr>
        <w:spacing w:after="80" w:line="240" w:lineRule="auto"/>
        <w:ind w:firstLine="288"/>
        <w:jc w:val="both"/>
      </w:pPr>
      <w:r>
        <w:rPr>
          <w:rFonts w:ascii="Times New Roman" w:hAnsi="Times New Roman"/>
          <w:b/>
          <w:i/>
          <w:sz w:val="18"/>
        </w:rPr>
        <w:t>Abstract—</w:t>
      </w:r>
      <w:r>
        <w:rPr>
          <w:rFonts w:ascii="Times New Roman" w:hAnsi="Times New Roman"/>
          <w:b w:val="0"/>
          <w:i/>
          <w:sz w:val="18"/>
        </w:rPr>
        <w:t>Retrieval-augmented generation (RAG) is increasingly applied to legal question answering, but deployments are overwhelmingly English and target common-law or EU jurisdictions, and they are evaluated on answer quality alone. Two properties that matter more in legal practice are largely unmeasured: whether a system knows when not to answer, and whether a given answer can later be audited. We present a legal question-answering architecture for Pakistani law that addresses both. The system combines hybrid lexical-dense retrieval over a bilingual statute corpus with a set of deterministic statutory engines, whose computed output is treated as first-class evidence by a grounding verifier; routes every query through a single arbitration layer that selects among answering, requesting clarification, and refusing under an explicit asymmetric cost model; and records a durable provenance document for every turn, linking the emitted answer to the evidence, the arbitration verdict, and the model that produced it. The system additionally normalises Roman-Urdu input to Urdu script before retrieval, and resolves cross-jurisdictional statute aliases that arise when users import Indian legal terminology. We describe the architecture, the construction of an abstention-aware evaluation set built by labelling recorded production traffic, and an evaluation protocol reporting selective-prediction behaviour alongside standard ranking metrics.</w:t>
      </w:r>
    </w:p>
    <w:p>
      <w:pPr>
        <w:spacing w:after="80" w:line="240" w:lineRule="auto"/>
        <w:ind w:firstLine="288"/>
        <w:jc w:val="both"/>
      </w:pPr>
      <w:r>
        <w:rPr>
          <w:rFonts w:ascii="Times New Roman" w:hAnsi="Times New Roman"/>
          <w:b/>
          <w:i/>
          <w:sz w:val="18"/>
        </w:rPr>
        <w:t>Index Terms—</w:t>
      </w:r>
      <w:r>
        <w:rPr>
          <w:rFonts w:ascii="Times New Roman" w:hAnsi="Times New Roman"/>
          <w:b w:val="0"/>
          <w:i/>
          <w:sz w:val="18"/>
        </w:rPr>
        <w:t>legal informatics, retrieval-augmented generation, selective prediction, abstention, neuro-symbolic systems, low-resource NLP, code-switching, Urdu</w:t>
      </w:r>
    </w:p>
    <w:p>
      <w:pPr>
        <w:spacing w:after="80" w:before="200" w:line="240" w:lineRule="auto"/>
        <w:jc w:val="center"/>
      </w:pPr>
      <w:r>
        <w:rPr>
          <w:rFonts w:ascii="Times New Roman" w:hAnsi="Times New Roman"/>
          <w:b w:val="0"/>
          <w:i w:val="0"/>
          <w:sz w:val="20"/>
        </w:rPr>
        <w:t>I.  INTRODUCTION</w:t>
      </w:r>
    </w:p>
    <w:p>
      <w:pPr>
        <w:spacing w:after="80" w:before="0" w:line="240" w:lineRule="auto"/>
        <w:ind w:firstLine="288"/>
        <w:jc w:val="both"/>
      </w:pPr>
      <w:r>
        <w:rPr>
          <w:rFonts w:ascii="Times New Roman" w:hAnsi="Times New Roman"/>
          <w:b w:val="0"/>
          <w:i w:val="0"/>
          <w:sz w:val="20"/>
        </w:rPr>
        <w:t>Access to legal information is unevenly distributed. A litigant who cannot afford counsel is often unable to establish even the threshold facts of their own position: which statute governs, which forum has jurisdiction, what a filing will cost, or whether a limitation period has already expired.</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Insert one cited statistic on the lawyer-to-population ratio or case backlog in Pakistan. Do not write a number you have not sourced.</w:t>
      </w:r>
      <w:r>
        <w:rPr>
          <w:rFonts w:ascii="Times New Roman" w:hAnsi="Times New Roman"/>
          <w:b/>
          <w:i w:val="0"/>
          <w:color w:val="C00000"/>
          <w:sz w:val="20"/>
        </w:rPr>
        <w:t>]</w:t>
      </w:r>
    </w:p>
    <w:p>
      <w:pPr>
        <w:spacing w:after="80" w:before="0" w:line="240" w:lineRule="auto"/>
        <w:ind w:firstLine="288"/>
        <w:jc w:val="both"/>
      </w:pPr>
      <w:r>
        <w:rPr>
          <w:rFonts w:ascii="Times New Roman" w:hAnsi="Times New Roman"/>
          <w:b w:val="0"/>
          <w:i w:val="0"/>
          <w:sz w:val="20"/>
        </w:rPr>
        <w:t>Large language models with retrieval augmentation [1] appear well suited to closing part of that gap, and legal question answering is now an active application area [2], [3]. Existing systems, however, are built predominantly for English and for common-law or European jurisdictions. Transferring them to Pakistan is not a matter of swapping the corpus. Queries arrive in English, in Urdu script, and most commonly in Roman Urdu, the transliterated register used in everyday digital communication; the applicable law combines codified statute with Islamic personal law and varies by province; and users routinely import Indian statutory terminology, asking about the Indian Penal Code when the Pakistan Penal Code governs. Each of these is a retrieval problem before it is a generation problem.</w:t>
      </w:r>
    </w:p>
    <w:p>
      <w:pPr>
        <w:spacing w:after="80" w:before="0" w:line="240" w:lineRule="auto"/>
        <w:ind w:firstLine="288"/>
        <w:jc w:val="both"/>
      </w:pPr>
      <w:r>
        <w:rPr>
          <w:rFonts w:ascii="Times New Roman" w:hAnsi="Times New Roman"/>
          <w:b w:val="0"/>
          <w:i w:val="0"/>
          <w:sz w:val="20"/>
        </w:rPr>
        <w:t>A second gap is less specific to jurisdiction and, we argue, more consequential. Legal question-answering systems are evaluated almost entirely on the quality of the answers they produce. Two properties that matter more in professional practice go largely unmeasured. The first is abstention: a confidently wrong answer about bail eligibility or a limitation period can cause material harm, so a system that declines to answer when its evidence is weak is more useful than one that always responds. The second is auditability: an answer that cannot be traced to the evidence and decisions that produced it cannot be contested, corrected, or defended, which is precisely what a regulated domain requires. Neither property is captured by answer-quality metrics, and neither is achievable as an afterthought.</w:t>
      </w:r>
    </w:p>
    <w:p>
      <w:pPr>
        <w:spacing w:after="80" w:before="0" w:line="240" w:lineRule="auto"/>
        <w:ind w:firstLine="288"/>
        <w:jc w:val="both"/>
      </w:pPr>
      <w:r>
        <w:rPr>
          <w:rFonts w:ascii="Times New Roman" w:hAnsi="Times New Roman"/>
          <w:b w:val="0"/>
          <w:i w:val="0"/>
          <w:sz w:val="20"/>
        </w:rPr>
        <w:t>This paper describes a legal question-answering system for Pakistani law built around both. Our contributions are: (i) verifier-aware symbolic evidence - deterministic statutory engines for court fees, bail eligibility, limitation and inheritance shares under Islamic law are treated as first-class evidence by the grounding verifier, so a correct computed answer is not mislabelled as ungrounded merely because no retrieved provision restates it; (ii) an explicit abstention policy, in which a single arbitration layer selects among answering, requesting clarification and refusing under an asymmetric cost model where an unnecessary refusal is itself a cost; (iii) code-switched retrieval for a low-resource jurisdiction, with Roman-Urdu normalisation and cross-jurisdictional alias resolution; and (iv) per-turn provenance linking every emitted answer to its evidence, its arbitration verdict and the model that served it, together with an evaluation protocol that constructs an abstention-aware test set by labelling recorded traffic.</w:t>
      </w:r>
    </w:p>
    <w:p>
      <w:pPr>
        <w:spacing w:after="80" w:before="200" w:line="240" w:lineRule="auto"/>
        <w:jc w:val="center"/>
      </w:pPr>
      <w:r>
        <w:rPr>
          <w:rFonts w:ascii="Times New Roman" w:hAnsi="Times New Roman"/>
          <w:b w:val="0"/>
          <w:i w:val="0"/>
          <w:sz w:val="20"/>
        </w:rPr>
        <w:t>II.  RELATED WORK</w:t>
      </w:r>
    </w:p>
    <w:p>
      <w:pPr>
        <w:spacing w:after="80" w:line="240" w:lineRule="auto"/>
        <w:ind w:firstLine="288"/>
        <w:jc w:val="both"/>
      </w:pPr>
      <w:r>
        <w:rPr>
          <w:rFonts w:ascii="Times New Roman" w:hAnsi="Times New Roman"/>
          <w:b/>
          <w:i w:val="0"/>
          <w:sz w:val="20"/>
        </w:rPr>
        <w:t xml:space="preserve">Legal NLP and retrieval-augmented generation. </w:t>
      </w:r>
      <w:r>
        <w:rPr>
          <w:rFonts w:ascii="Times New Roman" w:hAnsi="Times New Roman"/>
          <w:b w:val="0"/>
          <w:i w:val="0"/>
          <w:sz w:val="20"/>
        </w:rPr>
        <w:t>Domain-adapted encoders such as LEGAL-BERT [2] established that legal text benefits from in-domain pretraining, and LegalBench [3] provides a broad benchmark for legal reasoning in large language models. Retrieval augmentation [1] combined with dense passage retrieval [4] is now the standard architecture for grounding generated answers in source documents. Self-RAG [5] adds self-reflection over retrieval quality and answer support. This line of work overwhelmingly targets English and common-law or EU material, and evaluates the answers produced rather than the decision of whether to answer.</w:t>
      </w:r>
    </w:p>
    <w:p>
      <w:pPr>
        <w:spacing w:after="80" w:line="240" w:lineRule="auto"/>
        <w:ind w:firstLine="288"/>
        <w:jc w:val="both"/>
      </w:pPr>
      <w:r>
        <w:rPr>
          <w:rFonts w:ascii="Times New Roman" w:hAnsi="Times New Roman"/>
          <w:b/>
          <w:i w:val="0"/>
          <w:sz w:val="20"/>
        </w:rPr>
        <w:t xml:space="preserve">Selective prediction and calibration. </w:t>
      </w:r>
      <w:r>
        <w:rPr>
          <w:rFonts w:ascii="Times New Roman" w:hAnsi="Times New Roman"/>
          <w:b w:val="0"/>
          <w:i w:val="0"/>
          <w:sz w:val="20"/>
        </w:rPr>
        <w:t>Selective classification formalises the option to abstain and the risk-coverage trade-off it induces [6], [7]. Modern neural networks are systematically miscalibrated [8], motivating post-hoc mapping of scores into probability space by Platt scaling [9] or isotonic regression [10]; conformal prediction [11] offers distribution-free coverage guarantees over the same problem. Language models retain some signal about their own reliability [12], and hallucination remains a central failure mode of generation systems [13]. These techniques are rarely applied to the routing decision inside a retrieval pipeline, which is where we place them.</w:t>
      </w:r>
    </w:p>
    <w:p>
      <w:pPr>
        <w:spacing w:after="80" w:line="240" w:lineRule="auto"/>
        <w:ind w:firstLine="288"/>
        <w:jc w:val="both"/>
      </w:pPr>
      <w:r>
        <w:rPr>
          <w:rFonts w:ascii="Times New Roman" w:hAnsi="Times New Roman"/>
          <w:b/>
          <w:i w:val="0"/>
          <w:sz w:val="20"/>
        </w:rPr>
        <w:t xml:space="preserve">Tool-augmented and neuro-symbolic generation. </w:t>
      </w:r>
      <w:r>
        <w:rPr>
          <w:rFonts w:ascii="Times New Roman" w:hAnsi="Times New Roman"/>
          <w:b w:val="0"/>
          <w:i w:val="0"/>
          <w:sz w:val="20"/>
        </w:rPr>
        <w:t>Delegating exactly-computable subproblems to deterministic components is well established, but the interaction between tool output and answer verification is not. Where a grounding check tests whether claims appear in retrieved text, computed results are structurally invisible to it. We make the verifier aware of symbolic evidence rather than treating tools purely as a generation aid.</w:t>
      </w:r>
    </w:p>
    <w:p>
      <w:pPr>
        <w:spacing w:after="80" w:line="240" w:lineRule="auto"/>
        <w:ind w:firstLine="288"/>
        <w:jc w:val="both"/>
      </w:pPr>
      <w:r>
        <w:rPr>
          <w:rFonts w:ascii="Times New Roman" w:hAnsi="Times New Roman"/>
          <w:b/>
          <w:i w:val="0"/>
          <w:sz w:val="20"/>
        </w:rPr>
        <w:t xml:space="preserve">Low-resource retrieval and adversarial robustness. </w:t>
      </w:r>
      <w:r>
        <w:rPr>
          <w:rFonts w:ascii="Times New Roman" w:hAnsi="Times New Roman"/>
          <w:b w:val="0"/>
          <w:i w:val="0"/>
          <w:sz w:val="20"/>
        </w:rPr>
        <w:t>Multilingual dense encoders [14] make a single index viable across scripts, and hybrid lexical-dense retrieval with rank fusion [15], [16] remains strong where exact terminology matters, as it does for statute references. Separately, prompt injection is a practical threat to any deployed instruction-following assistant [17], [18]. We report a failure mode in this class that arises from pipeline structure rather than from classifier weakness.</w:t>
      </w:r>
    </w:p>
    <w:p>
      <w:pPr>
        <w:spacing w:after="80" w:before="0" w:line="240" w:lineRule="auto"/>
        <w:ind w:firstLine="288"/>
        <w:jc w:val="both"/>
      </w:pPr>
      <w:r>
        <w:rPr>
          <w:rFonts w:ascii="Times New Roman" w:hAnsi="Times New Roman"/>
          <w:b w:val="0"/>
          <w:i w:val="0"/>
          <w:sz w:val="20"/>
        </w:rPr>
        <w:t>To our knowledge, no existing system combines abstention under an explicit cost model, symbolic evidence admitted by the grounding verifier, and code-switched retrieval for a low-resource jurisdiction, nor reports an evaluation that measures all three.</w:t>
      </w:r>
    </w:p>
    <w:p>
      <w:pPr>
        <w:spacing w:after="80" w:before="200" w:line="240" w:lineRule="auto"/>
        <w:jc w:val="center"/>
      </w:pPr>
      <w:r>
        <w:rPr>
          <w:rFonts w:ascii="Times New Roman" w:hAnsi="Times New Roman"/>
          <w:b w:val="0"/>
          <w:i w:val="0"/>
          <w:sz w:val="20"/>
        </w:rPr>
        <w:t>III.  METHOD</w:t>
      </w:r>
    </w:p>
    <w:p>
      <w:pPr>
        <w:spacing w:after="60" w:before="120" w:line="240" w:lineRule="auto"/>
        <w:jc w:val="left"/>
      </w:pPr>
      <w:r>
        <w:rPr>
          <w:rFonts w:ascii="Times New Roman" w:hAnsi="Times New Roman"/>
          <w:b w:val="0"/>
          <w:i/>
          <w:sz w:val="20"/>
        </w:rPr>
        <w:t>A.  Overview</w:t>
      </w:r>
    </w:p>
    <w:p>
      <w:pPr>
        <w:spacing w:after="80" w:before="0" w:line="240" w:lineRule="auto"/>
        <w:ind w:firstLine="288"/>
        <w:jc w:val="both"/>
      </w:pPr>
      <w:r>
        <w:rPr>
          <w:rFonts w:ascii="Times New Roman" w:hAnsi="Times New Roman"/>
          <w:b w:val="0"/>
          <w:i w:val="0"/>
          <w:sz w:val="20"/>
        </w:rPr>
        <w:t>The system is a directed graph of thirteen nodes executed per user turn. A turn enters an adversarial gatekeeper, is classified and triaged, may be suspended to ask the user for missing facts, is checked against a semantic cache, may invoke deterministic statutory engines, retrieves statute and case-law evidence, has that evidence scored, and only then reaches an arbitration node that decides whether to answer at all. Generation and a grounding check follow, and a finaliser sanitises the output. Conversation state, including the suspended state of a pending clarification, is checkpointed to a document store so that a turn survives process restarts and can be resumed by a different worker.</w:t>
      </w:r>
    </w:p>
    <w:p>
      <w:pPr>
        <w:spacing w:after="80" w:before="0" w:line="240" w:lineRule="auto"/>
        <w:ind w:firstLine="288"/>
        <w:jc w:val="both"/>
      </w:pPr>
      <w:r>
        <w:rPr>
          <w:rFonts w:ascii="Times New Roman" w:hAnsi="Times New Roman"/>
          <w:b w:val="0"/>
          <w:i w:val="0"/>
          <w:sz w:val="20"/>
        </w:rPr>
        <w:t>Four properties distinguish the design from a standard RAG pipeline: symbolic evidence admitted by the verifier (Section III-D), three-signal confidence with an explicit abstention policy (Sections III-E and III-H), code-switched retrieval (Section III-B), and per-turn provenance (Section III-K).</w:t>
      </w:r>
    </w:p>
    <w:p>
      <w:pPr>
        <w:spacing w:after="60" w:before="120" w:line="240" w:lineRule="auto"/>
        <w:jc w:val="left"/>
      </w:pPr>
      <w:r>
        <w:rPr>
          <w:rFonts w:ascii="Times New Roman" w:hAnsi="Times New Roman"/>
          <w:b w:val="0"/>
          <w:i/>
          <w:sz w:val="20"/>
        </w:rPr>
        <w:t>B.  Corpus and Retrieval</w:t>
      </w:r>
    </w:p>
    <w:p>
      <w:pPr>
        <w:spacing w:after="80" w:before="0" w:line="240" w:lineRule="auto"/>
        <w:ind w:firstLine="288"/>
        <w:jc w:val="both"/>
      </w:pPr>
      <w:r>
        <w:rPr>
          <w:rFonts w:ascii="Times New Roman" w:hAnsi="Times New Roman"/>
          <w:b w:val="0"/>
          <w:i w:val="0"/>
          <w:sz w:val="20"/>
        </w:rPr>
        <w:t>The statute corpus is drawn from a public collection of 967 Pakistani legal documents [19], segmented by section and partitioned into four collections by legal domain (civil, criminal, family, constitutional). A bilingual English-Urdu constitutional question-answer set [20] is ingested into the constitutional collection as both raw article text and question-answer pairs. A separate corpus of reported Lahore High Court judgments supports case-law retrieval. Table I reports the indexed chunk counts.</w:t>
      </w:r>
    </w:p>
    <w:p>
      <w:pPr>
        <w:spacing w:after="60" w:before="120" w:line="240" w:lineRule="auto"/>
        <w:jc w:val="center"/>
      </w:pPr>
      <w:r>
        <w:rPr>
          <w:rFonts w:ascii="Times New Roman" w:hAnsi="Times New Roman"/>
          <w:b w:val="0"/>
          <w:i w:val="0"/>
          <w:sz w:val="16"/>
        </w:rPr>
        <w:t>TABLE I.</w:t>
        <w:tab/>
        <w:t>INDEXED CORPUS, BY COLLECTION</w:t>
      </w:r>
    </w:p>
    <w:tbl>
      <w:tblPr>
        <w:tblStyle w:val="TableGrid"/>
        <w:tblW w:type="auto" w:w="0"/>
        <w:tblLook w:firstColumn="1" w:firstRow="1" w:lastColumn="0" w:lastRow="0" w:noHBand="0" w:noVBand="1" w:val="04A0"/>
      </w:tblPr>
      <w:tblGrid>
        <w:gridCol w:w="5220"/>
        <w:gridCol w:w="5220"/>
      </w:tblGrid>
      <w:tr>
        <w:tc>
          <w:tcPr>
            <w:tcW w:type="dxa" w:w="5220"/>
          </w:tcPr>
          <w:p>
            <w:pPr>
              <w:spacing w:after="0"/>
            </w:pPr>
            <w:r>
              <w:rPr>
                <w:rFonts w:ascii="Times New Roman" w:hAnsi="Times New Roman"/>
                <w:b/>
                <w:sz w:val="16"/>
              </w:rPr>
              <w:t>Collection</w:t>
            </w:r>
          </w:p>
        </w:tc>
        <w:tc>
          <w:tcPr>
            <w:tcW w:type="dxa" w:w="5220"/>
          </w:tcPr>
          <w:p>
            <w:pPr>
              <w:spacing w:after="0"/>
            </w:pPr>
            <w:r>
              <w:rPr>
                <w:rFonts w:ascii="Times New Roman" w:hAnsi="Times New Roman"/>
                <w:b/>
                <w:sz w:val="16"/>
              </w:rPr>
              <w:t>Chunks</w:t>
            </w:r>
          </w:p>
        </w:tc>
      </w:tr>
      <w:tr>
        <w:tc>
          <w:tcPr>
            <w:tcW w:type="dxa" w:w="5220"/>
          </w:tcPr>
          <w:p>
            <w:pPr>
              <w:spacing w:after="0"/>
            </w:pPr>
            <w:r>
              <w:rPr>
                <w:rFonts w:ascii="Times New Roman" w:hAnsi="Times New Roman"/>
                <w:b w:val="0"/>
                <w:sz w:val="16"/>
              </w:rPr>
              <w:t>Criminal</w:t>
            </w:r>
          </w:p>
        </w:tc>
        <w:tc>
          <w:tcPr>
            <w:tcW w:type="dxa" w:w="5220"/>
          </w:tcPr>
          <w:p>
            <w:pPr>
              <w:spacing w:after="0"/>
            </w:pPr>
            <w:r>
              <w:rPr>
                <w:rFonts w:ascii="Times New Roman" w:hAnsi="Times New Roman"/>
                <w:b w:val="0"/>
                <w:sz w:val="16"/>
              </w:rPr>
              <w:t>1,735</w:t>
            </w:r>
          </w:p>
        </w:tc>
      </w:tr>
      <w:tr>
        <w:tc>
          <w:tcPr>
            <w:tcW w:type="dxa" w:w="5220"/>
          </w:tcPr>
          <w:p>
            <w:pPr>
              <w:spacing w:after="0"/>
            </w:pPr>
            <w:r>
              <w:rPr>
                <w:rFonts w:ascii="Times New Roman" w:hAnsi="Times New Roman"/>
                <w:b w:val="0"/>
                <w:sz w:val="16"/>
              </w:rPr>
              <w:t>Constitutional</w:t>
            </w:r>
          </w:p>
        </w:tc>
        <w:tc>
          <w:tcPr>
            <w:tcW w:type="dxa" w:w="5220"/>
          </w:tcPr>
          <w:p>
            <w:pPr>
              <w:spacing w:after="0"/>
            </w:pPr>
            <w:r>
              <w:rPr>
                <w:rFonts w:ascii="Times New Roman" w:hAnsi="Times New Roman"/>
                <w:b w:val="0"/>
                <w:sz w:val="16"/>
              </w:rPr>
              <w:t>924</w:t>
            </w:r>
          </w:p>
        </w:tc>
      </w:tr>
      <w:tr>
        <w:tc>
          <w:tcPr>
            <w:tcW w:type="dxa" w:w="5220"/>
          </w:tcPr>
          <w:p>
            <w:pPr>
              <w:spacing w:after="0"/>
            </w:pPr>
            <w:r>
              <w:rPr>
                <w:rFonts w:ascii="Times New Roman" w:hAnsi="Times New Roman"/>
                <w:b w:val="0"/>
                <w:sz w:val="16"/>
              </w:rPr>
              <w:t>Civil</w:t>
            </w:r>
          </w:p>
        </w:tc>
        <w:tc>
          <w:tcPr>
            <w:tcW w:type="dxa" w:w="5220"/>
          </w:tcPr>
          <w:p>
            <w:pPr>
              <w:spacing w:after="0"/>
            </w:pPr>
            <w:r>
              <w:rPr>
                <w:rFonts w:ascii="Times New Roman" w:hAnsi="Times New Roman"/>
                <w:b w:val="0"/>
                <w:sz w:val="16"/>
              </w:rPr>
              <w:t>396</w:t>
            </w:r>
          </w:p>
        </w:tc>
      </w:tr>
      <w:tr>
        <w:tc>
          <w:tcPr>
            <w:tcW w:type="dxa" w:w="5220"/>
          </w:tcPr>
          <w:p>
            <w:pPr>
              <w:spacing w:after="0"/>
            </w:pPr>
            <w:r>
              <w:rPr>
                <w:rFonts w:ascii="Times New Roman" w:hAnsi="Times New Roman"/>
                <w:b w:val="0"/>
                <w:sz w:val="16"/>
              </w:rPr>
              <w:t>Family</w:t>
            </w:r>
          </w:p>
        </w:tc>
        <w:tc>
          <w:tcPr>
            <w:tcW w:type="dxa" w:w="5220"/>
          </w:tcPr>
          <w:p>
            <w:pPr>
              <w:spacing w:after="0"/>
            </w:pPr>
            <w:r>
              <w:rPr>
                <w:rFonts w:ascii="Times New Roman" w:hAnsi="Times New Roman"/>
                <w:b w:val="0"/>
                <w:sz w:val="16"/>
              </w:rPr>
              <w:t>226</w:t>
            </w:r>
          </w:p>
        </w:tc>
      </w:tr>
      <w:tr>
        <w:tc>
          <w:tcPr>
            <w:tcW w:type="dxa" w:w="5220"/>
          </w:tcPr>
          <w:p>
            <w:pPr>
              <w:spacing w:after="0"/>
            </w:pPr>
            <w:r>
              <w:rPr>
                <w:rFonts w:ascii="Times New Roman" w:hAnsi="Times New Roman"/>
                <w:b w:val="0"/>
                <w:sz w:val="16"/>
              </w:rPr>
              <w:t>Case law (LHC judgments)</w:t>
            </w:r>
          </w:p>
        </w:tc>
        <w:tc>
          <w:tcPr>
            <w:tcW w:type="dxa" w:w="5220"/>
          </w:tcPr>
          <w:p>
            <w:pPr>
              <w:spacing w:after="0"/>
            </w:pPr>
            <w:r>
              <w:rPr>
                <w:rFonts w:ascii="Times New Roman" w:hAnsi="Times New Roman"/>
                <w:b w:val="0"/>
                <w:sz w:val="16"/>
              </w:rPr>
              <w:t>3,230</w:t>
            </w:r>
          </w:p>
        </w:tc>
      </w:tr>
    </w:tbl>
    <w:p>
      <w:pPr>
        <w:spacing w:after="80" w:before="0" w:line="240" w:lineRule="auto"/>
        <w:ind w:firstLine="288"/>
        <w:jc w:val="both"/>
      </w:pPr>
      <w:r>
        <w:rPr>
          <w:rFonts w:ascii="Times New Roman" w:hAnsi="Times New Roman"/>
          <w:b w:val="0"/>
          <w:i w:val="0"/>
          <w:sz w:val="20"/>
        </w:rPr>
        <w:t>Retrieval is hybrid. A BM25 index and a dense index over multilingual-e5-base embeddings are combined by weighted ensemble with weights 0.6 and 0.4 respectively, the lexical channel weighted higher because exact statute and section references carry disproportionate signal in this domain. Dense retrieval applies the asymmetric query and passage prefixes the model expects. Both channels are filtered so that a query for a given province retrieves only that province's provisions or federal ones.</w:t>
      </w:r>
    </w:p>
    <w:p>
      <w:pPr>
        <w:spacing w:after="80" w:before="0" w:line="240" w:lineRule="auto"/>
        <w:ind w:firstLine="288"/>
        <w:jc w:val="both"/>
      </w:pPr>
      <w:r>
        <w:rPr>
          <w:rFonts w:ascii="Times New Roman" w:hAnsi="Times New Roman"/>
          <w:b w:val="0"/>
          <w:i w:val="0"/>
          <w:sz w:val="20"/>
        </w:rPr>
        <w:t>Two mechanisms address vocabulary mismatch specific to this setting. First, a rule-based alias layer rewrites common cross-jurisdictional references before retrieval; users frequently ask about the Indian Penal Code when they mean the Pakistan Penal Code, and equivalent confusions exist for procedural codes. Second, a query rewriter maps colloquial phrasing to formal statutory terminology, and its output is accepted only if it contains recognised legal vocabulary, guarding against a degenerate rewrite.</w:t>
      </w:r>
    </w:p>
    <w:p>
      <w:pPr>
        <w:spacing w:after="80" w:before="0" w:line="240" w:lineRule="auto"/>
        <w:ind w:firstLine="288"/>
        <w:jc w:val="both"/>
      </w:pPr>
      <w:r>
        <w:rPr>
          <w:rFonts w:ascii="Times New Roman" w:hAnsi="Times New Roman"/>
          <w:b w:val="0"/>
          <w:i w:val="0"/>
          <w:sz w:val="20"/>
        </w:rPr>
        <w:t>Retrieval is two-hop. The first hop issues the expanded query. Statutory cross-references appearing in the first-hop results are then extracted and issued as a second query, so that a provision incorporating another by reference pulls in the referenced text. The two result lists are merged by reciprocal rank fusion. Case-law retrieval runs semantically over the judgment corpus on the unrewritten query, since judgment prose matches lay phrasing more closely than statutory terminology, and admits at most three judgments above a conservative similarity threshold.</w:t>
      </w:r>
    </w:p>
    <w:p>
      <w:pPr>
        <w:spacing w:after="60" w:before="120" w:line="240" w:lineRule="auto"/>
        <w:jc w:val="left"/>
      </w:pPr>
      <w:r>
        <w:rPr>
          <w:rFonts w:ascii="Times New Roman" w:hAnsi="Times New Roman"/>
          <w:b w:val="0"/>
          <w:i/>
          <w:sz w:val="20"/>
        </w:rPr>
        <w:t>C.  Code-Switched Input</w:t>
      </w:r>
    </w:p>
    <w:p>
      <w:pPr>
        <w:spacing w:after="80" w:before="0" w:line="240" w:lineRule="auto"/>
        <w:ind w:firstLine="288"/>
        <w:jc w:val="both"/>
      </w:pPr>
      <w:r>
        <w:rPr>
          <w:rFonts w:ascii="Times New Roman" w:hAnsi="Times New Roman"/>
          <w:b w:val="0"/>
          <w:i w:val="0"/>
          <w:sz w:val="20"/>
        </w:rPr>
        <w:t>Queries arrive in English, Urdu script, or Roman Urdu - Urdu written in Latin characters, which is the dominant informal register. A triage stage classifies the input language and, for Roman Urdu, emits a transliteration into Urdu script. Retrieval runs on this normalised form, so a single multilingual dense index serves all three registers without a separate Roman-Urdu index. The lexical signal described in Section III-E recognises legal terms in both scripts.</w:t>
      </w:r>
    </w:p>
    <w:p>
      <w:pPr>
        <w:spacing w:after="60" w:before="120" w:line="240" w:lineRule="auto"/>
        <w:jc w:val="left"/>
      </w:pPr>
      <w:r>
        <w:rPr>
          <w:rFonts w:ascii="Times New Roman" w:hAnsi="Times New Roman"/>
          <w:b w:val="0"/>
          <w:i/>
          <w:sz w:val="20"/>
        </w:rPr>
        <w:t>D.  Deterministic Statutory Engines</w:t>
      </w:r>
    </w:p>
    <w:p>
      <w:pPr>
        <w:spacing w:after="80" w:before="0" w:line="240" w:lineRule="auto"/>
        <w:ind w:firstLine="288"/>
        <w:jc w:val="both"/>
      </w:pPr>
      <w:r>
        <w:rPr>
          <w:rFonts w:ascii="Times New Roman" w:hAnsi="Times New Roman"/>
          <w:b w:val="0"/>
          <w:i w:val="0"/>
          <w:sz w:val="20"/>
        </w:rPr>
        <w:t>Several questions in this domain have exact answers that are computed, not retrieved: court-fee schedules, bail eligibility, statutory limitation periods, labour dues, and inheritance shares under Islamic law. The system exposes these as deterministic engines invoked before retrieval, and their results are held outside the retrieved-chunk set so that a retrieval retry cannot overwrite them and the relevance grader cannot score them.</w:t>
      </w:r>
    </w:p>
    <w:p>
      <w:pPr>
        <w:spacing w:after="80" w:before="0" w:line="240" w:lineRule="auto"/>
        <w:ind w:firstLine="288"/>
        <w:jc w:val="both"/>
      </w:pPr>
      <w:r>
        <w:rPr>
          <w:rFonts w:ascii="Times New Roman" w:hAnsi="Times New Roman"/>
          <w:b w:val="0"/>
          <w:i w:val="0"/>
          <w:sz w:val="20"/>
        </w:rPr>
        <w:t>The consequence for verification is the contribution we wish to emphasise. A conventional grounding check asks whether the answer's claims appear in retrieved text; under that rule, a correct court-fee figure derived from a computation is judged ungrounded, because no retrieved provision states it. Our verifier is told that engine output is computed ground truth, and that an answer faithfully restating an engine's result is grounded. Correspondingly, the abstention policy in Section III-H never refuses a turn in which an engine produced a result, since refusing a computed figure because the surrounding statutory context scored poorly is strictly worse than answering.</w:t>
      </w:r>
    </w:p>
    <w:p>
      <w:pPr>
        <w:spacing w:after="60" w:before="120" w:line="240" w:lineRule="auto"/>
        <w:jc w:val="left"/>
      </w:pPr>
      <w:r>
        <w:rPr>
          <w:rFonts w:ascii="Times New Roman" w:hAnsi="Times New Roman"/>
          <w:b w:val="0"/>
          <w:i/>
          <w:sz w:val="20"/>
        </w:rPr>
        <w:t>E.  Three-Signal Confidence</w:t>
      </w:r>
    </w:p>
    <w:p>
      <w:pPr>
        <w:spacing w:after="80" w:before="0" w:line="240" w:lineRule="auto"/>
        <w:ind w:firstLine="288"/>
        <w:jc w:val="both"/>
      </w:pPr>
      <w:r>
        <w:rPr>
          <w:rFonts w:ascii="Times New Roman" w:hAnsi="Times New Roman"/>
          <w:b w:val="0"/>
          <w:i w:val="0"/>
          <w:sz w:val="20"/>
        </w:rPr>
        <w:t>Each retrieved chunk receives a confidence score combining three signals: a lexical score k, the fraction of legal terms in the query present in the chunk; an embedding similarity e; and a binary relevance grade l from a fast language model. The signals are mapped into probability space by the calibration layer (Section III-F) and combined additively:</w:t>
      </w:r>
    </w:p>
    <w:p>
      <w:pPr>
        <w:spacing w:before="80" w:after="80"/>
        <w:jc w:val="center"/>
      </w:pPr>
      <w:r>
        <w:rPr>
          <w:rFonts w:ascii="Times New Roman" w:hAnsi="Times New Roman"/>
          <w:i/>
          <w:sz w:val="20"/>
        </w:rPr>
        <w:t>s = 0.40 k + 0.35 ê + 0.25 l̂</w:t>
        <w:tab/>
        <w:tab/>
        <w:t>(1)</w:t>
      </w:r>
    </w:p>
    <w:p>
      <w:pPr>
        <w:spacing w:after="80" w:before="0" w:line="240" w:lineRule="auto"/>
        <w:ind w:firstLine="288"/>
        <w:jc w:val="both"/>
      </w:pPr>
      <w:r>
        <w:rPr>
          <w:rFonts w:ascii="Times New Roman" w:hAnsi="Times New Roman"/>
          <w:b w:val="0"/>
          <w:i w:val="0"/>
          <w:sz w:val="20"/>
        </w:rPr>
        <w:t>with the lexical term weighted highest for the same reason the lexical retrieval channel is.</w:t>
      </w:r>
    </w:p>
    <w:p>
      <w:pPr>
        <w:spacing w:after="80" w:before="0" w:line="240" w:lineRule="auto"/>
        <w:ind w:firstLine="288"/>
        <w:jc w:val="both"/>
      </w:pPr>
      <w:r>
        <w:rPr>
          <w:rFonts w:ascii="Times New Roman" w:hAnsi="Times New Roman"/>
          <w:b w:val="0"/>
          <w:i w:val="0"/>
          <w:sz w:val="20"/>
        </w:rPr>
        <w:t>Disagreement between the signals is retained rather than averaged away. Let σ² be the variance of the three calibrated signals. When σ² exceeds an adaptive threshold, the score is penalised by σ², and the mean variance across chunks is passed forward to the arbitration layer, where it is the signal that distinguishes requesting more information from answering at equal mean confidence. If the relevance grader is unavailable, its signal degrades to a neutral value rather than failing closed, so that a provider outage falls through to the lexical evidence path instead of becoming indistinguishable from an absence of relevant law.</w:t>
      </w:r>
    </w:p>
    <w:p>
      <w:pPr>
        <w:spacing w:after="60" w:before="120" w:line="240" w:lineRule="auto"/>
        <w:jc w:val="left"/>
      </w:pPr>
      <w:r>
        <w:rPr>
          <w:rFonts w:ascii="Times New Roman" w:hAnsi="Times New Roman"/>
          <w:b w:val="0"/>
          <w:i/>
          <w:sz w:val="20"/>
        </w:rPr>
        <w:t>F.  Calibration and Drift Monitoring</w:t>
      </w:r>
    </w:p>
    <w:p>
      <w:pPr>
        <w:spacing w:after="80" w:before="0" w:line="240" w:lineRule="auto"/>
        <w:ind w:firstLine="288"/>
        <w:jc w:val="both"/>
      </w:pPr>
      <w:r>
        <w:rPr>
          <w:rFonts w:ascii="Times New Roman" w:hAnsi="Times New Roman"/>
          <w:b w:val="0"/>
          <w:i w:val="0"/>
          <w:sz w:val="20"/>
        </w:rPr>
        <w:t>Raw scores are mapped to calibrated probabilities before arbitration: Platt scaling for the language-model signal and isotonic regression for the lexical signal, with cosine similarity clamped as it already occupies probability space.</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State plainly that fitted parameters are estimated from the labelled set of Section IV, and report the fitted values. Until they are fitted the transforms are identity, and the paper must not claim otherwise - this is why the title says 'selective' rather than 'calibrated'.</w:t>
      </w:r>
      <w:r>
        <w:rPr>
          <w:rFonts w:ascii="Times New Roman" w:hAnsi="Times New Roman"/>
          <w:b/>
          <w:i w:val="0"/>
          <w:color w:val="C00000"/>
          <w:sz w:val="20"/>
        </w:rPr>
        <w:t>]</w:t>
      </w:r>
    </w:p>
    <w:p>
      <w:pPr>
        <w:spacing w:after="80" w:before="0" w:line="240" w:lineRule="auto"/>
        <w:ind w:firstLine="288"/>
        <w:jc w:val="both"/>
      </w:pPr>
      <w:r>
        <w:rPr>
          <w:rFonts w:ascii="Times New Roman" w:hAnsi="Times New Roman"/>
          <w:b w:val="0"/>
          <w:i w:val="0"/>
          <w:sz w:val="20"/>
        </w:rPr>
        <w:t>Distribution shift is monitored by the population stability index over a rolling window of retrieval confidences, with a shift flagged at PSI &gt;= 0.20 and stability below 0.10. Both the calibration state and the threshold state described next are held in a shared store rather than in process memory, so that a horizontally scaled deployment does not maintain divergent thresholds per worker.</w:t>
      </w:r>
    </w:p>
    <w:p>
      <w:pPr>
        <w:spacing w:after="60" w:before="120" w:line="240" w:lineRule="auto"/>
        <w:jc w:val="left"/>
      </w:pPr>
      <w:r>
        <w:rPr>
          <w:rFonts w:ascii="Times New Roman" w:hAnsi="Times New Roman"/>
          <w:b w:val="0"/>
          <w:i/>
          <w:sz w:val="20"/>
        </w:rPr>
        <w:t>G.  Adaptive Thresholds</w:t>
      </w:r>
    </w:p>
    <w:p>
      <w:pPr>
        <w:spacing w:after="80" w:before="0" w:line="240" w:lineRule="auto"/>
        <w:ind w:firstLine="288"/>
        <w:jc w:val="both"/>
      </w:pPr>
      <w:r>
        <w:rPr>
          <w:rFonts w:ascii="Times New Roman" w:hAnsi="Times New Roman"/>
          <w:b w:val="0"/>
          <w:i w:val="0"/>
          <w:sz w:val="20"/>
        </w:rPr>
        <w:t>Decision thresholds are seeded and then re-estimated from observed data: the generation floor from the 10th percentile of retrieval scores, a routing gap from the 25th percentile, and a similarity threshold from the 90th percentile, recomputed periodically over a rolling window once a warm-up volume of queries has been observed. Threshold reads occur once per chunk and are served from a process-local snapshot refreshed on a fixed interval, so the hot path performs no remote reads; writes are batched.</w:t>
      </w:r>
    </w:p>
    <w:p>
      <w:pPr>
        <w:spacing w:after="60" w:before="120" w:line="240" w:lineRule="auto"/>
        <w:jc w:val="left"/>
      </w:pPr>
      <w:r>
        <w:rPr>
          <w:rFonts w:ascii="Times New Roman" w:hAnsi="Times New Roman"/>
          <w:b w:val="0"/>
          <w:i/>
          <w:sz w:val="20"/>
        </w:rPr>
        <w:t>H.  Arbitration and Abstention</w:t>
      </w:r>
    </w:p>
    <w:p>
      <w:pPr>
        <w:spacing w:after="80" w:before="0" w:line="240" w:lineRule="auto"/>
        <w:ind w:firstLine="288"/>
        <w:jc w:val="both"/>
      </w:pPr>
      <w:r>
        <w:rPr>
          <w:rFonts w:ascii="Times New Roman" w:hAnsi="Times New Roman"/>
          <w:b w:val="0"/>
          <w:i w:val="0"/>
          <w:sz w:val="20"/>
        </w:rPr>
        <w:t>All routing flows through a single arbitration node; the graph's edge functions read its verdict and do not recompute confidence. The node selects one of three actions - ANSWER, DEFER (request clarification and retry retrieval), or REFUSE - over the available evidence sources.</w:t>
      </w:r>
    </w:p>
    <w:p>
      <w:pPr>
        <w:spacing w:after="80" w:before="0" w:line="240" w:lineRule="auto"/>
        <w:ind w:firstLine="288"/>
        <w:jc w:val="both"/>
      </w:pPr>
      <w:r>
        <w:rPr>
          <w:rFonts w:ascii="Times New Roman" w:hAnsi="Times New Roman"/>
          <w:b w:val="0"/>
          <w:i w:val="0"/>
          <w:sz w:val="20"/>
        </w:rPr>
        <w:t>Evidence may come from the graded retrieval path, from a version-matched cache hit, or from the lexical channel alone. Lexical-only evidence is capped at confidence 0.55, so that it can support an answer but cannot present itself as a confident judgement. Each candidate source is assigned a utility:</w:t>
      </w:r>
    </w:p>
    <w:p>
      <w:pPr>
        <w:spacing w:before="80" w:after="80"/>
        <w:jc w:val="center"/>
      </w:pPr>
      <w:r>
        <w:rPr>
          <w:rFonts w:ascii="Times New Roman" w:hAnsi="Times New Roman"/>
          <w:i/>
          <w:sz w:val="20"/>
        </w:rPr>
        <w:t>u(c, a) = c / cost(a)</w:t>
        <w:tab/>
        <w:tab/>
        <w:t>(2)</w:t>
      </w:r>
    </w:p>
    <w:p>
      <w:pPr>
        <w:spacing w:after="80" w:before="0" w:line="240" w:lineRule="auto"/>
        <w:ind w:firstLine="288"/>
        <w:jc w:val="both"/>
      </w:pPr>
      <w:r>
        <w:rPr>
          <w:rFonts w:ascii="Times New Roman" w:hAnsi="Times New Roman"/>
          <w:b w:val="0"/>
          <w:i w:val="0"/>
          <w:sz w:val="20"/>
        </w:rPr>
        <w:t>where c is calibrated confidence and cost encodes the asymmetry of the domain: answering is cheap (0.10), deferring costs more (0.30), and refusing is most expensive (0.60) in user-experience terms, which is what makes an unnecessary refusal a real cost rather than a free safe default. The action is DEFER when signal variance exceeds its threshold; REFUSE when confidence falls below a refusal ceiling; ANSWER when confidence meets or exceeds a generation floor; and DEFER otherwise. Two overrides apply. A turn retrieving zero chunks refuses unconditionally. And after a bounded number of consecutive deferrals the node enters a binary mode in which it must answer or refuse, so that a mid-confidence query cannot loop indefinitely asking for clarification. Retry budget is deliberately kept outside the arbitration node: the node judges evidence, while the graph decides whether another retrieval pass is affordable.</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Equation (2) is the weakest formal point in the paper and a reviewer will press on it. Either derive the action from expected utility over an explicit harm matrix, or state honestly that the cost vector is a hand-set prior and show a sensitivity analysis over it.</w:t>
      </w:r>
      <w:r>
        <w:rPr>
          <w:rFonts w:ascii="Times New Roman" w:hAnsi="Times New Roman"/>
          <w:b/>
          <w:i w:val="0"/>
          <w:color w:val="C00000"/>
          <w:sz w:val="20"/>
        </w:rPr>
        <w:t>]</w:t>
      </w:r>
    </w:p>
    <w:p>
      <w:pPr>
        <w:spacing w:after="60" w:before="120" w:line="240" w:lineRule="auto"/>
        <w:jc w:val="left"/>
      </w:pPr>
      <w:r>
        <w:rPr>
          <w:rFonts w:ascii="Times New Roman" w:hAnsi="Times New Roman"/>
          <w:b w:val="0"/>
          <w:i/>
          <w:sz w:val="20"/>
        </w:rPr>
        <w:t>I.  Grounding Verification</w:t>
      </w:r>
    </w:p>
    <w:p>
      <w:pPr>
        <w:spacing w:after="80" w:before="0" w:line="240" w:lineRule="auto"/>
        <w:ind w:firstLine="288"/>
        <w:jc w:val="both"/>
      </w:pPr>
      <w:r>
        <w:rPr>
          <w:rFonts w:ascii="Times New Roman" w:hAnsi="Times New Roman"/>
          <w:b w:val="0"/>
          <w:i w:val="0"/>
          <w:sz w:val="20"/>
        </w:rPr>
        <w:t>Generated answers are checked against the evidence actually supplied - retrieved provisions, admitted judgments, and engine output. An answer judged ungrounded has its confidence halved and receives an explicit caution directing the user to a qualified lawyer, and generation may be retried within budget. The system never presents an ungrounded answer as though it were verified.</w:t>
      </w:r>
    </w:p>
    <w:p>
      <w:pPr>
        <w:spacing w:after="60" w:before="120" w:line="240" w:lineRule="auto"/>
        <w:jc w:val="left"/>
      </w:pPr>
      <w:r>
        <w:rPr>
          <w:rFonts w:ascii="Times New Roman" w:hAnsi="Times New Roman"/>
          <w:b w:val="0"/>
          <w:i/>
          <w:sz w:val="20"/>
        </w:rPr>
        <w:t>J.  Adversarial Robustness</w:t>
      </w:r>
    </w:p>
    <w:p>
      <w:pPr>
        <w:spacing w:after="80" w:before="0" w:line="240" w:lineRule="auto"/>
        <w:ind w:firstLine="288"/>
        <w:jc w:val="both"/>
      </w:pPr>
      <w:r>
        <w:rPr>
          <w:rFonts w:ascii="Times New Roman" w:hAnsi="Times New Roman"/>
          <w:b w:val="0"/>
          <w:i w:val="0"/>
          <w:sz w:val="20"/>
        </w:rPr>
        <w:t>Because the assistant is instruction-following and publicly reachable, prompt injection is a live concern. A gatekeeper runs first, in two layers: a zero-cost regular-expression filter for high-signal attack strings, and a fast-model classifier for subtler attempts. The filter is deliberately narrow, because in this domain the obvious keywords are ordinary vocabulary - a question about disregarding a court order, or acting as an unrestricted agent under a power of attorney, is a legitimate legal query and must not be refused. The classifier fails open, so that a model-provider outage does not become a total service outage while the regex layer remains active.</w:t>
      </w:r>
    </w:p>
    <w:p>
      <w:pPr>
        <w:spacing w:after="80" w:before="0" w:line="240" w:lineRule="auto"/>
        <w:ind w:firstLine="288"/>
        <w:jc w:val="both"/>
      </w:pPr>
      <w:r>
        <w:rPr>
          <w:rFonts w:ascii="Times New Roman" w:hAnsi="Times New Roman"/>
          <w:b w:val="0"/>
          <w:i w:val="0"/>
          <w:sz w:val="20"/>
        </w:rPr>
        <w:t>One implementation finding is worth reporting because it generalises. An intent-classification shortcut answered certain conversational turns without entering the graph, and therefore bypassed the gatekeeper entirely; an injection phrased to end in an affirmation was routed to a canned reply, unlogged and unaudited. Defence-in-depth at a single point in a pipeline is insufficient when alternative paths exist that skip that point, and any robustness figure measured under such a configuration is computed only over the traffic that reached the defended component.</w:t>
      </w:r>
    </w:p>
    <w:p>
      <w:pPr>
        <w:spacing w:after="60" w:before="120" w:line="240" w:lineRule="auto"/>
        <w:jc w:val="left"/>
      </w:pPr>
      <w:r>
        <w:rPr>
          <w:rFonts w:ascii="Times New Roman" w:hAnsi="Times New Roman"/>
          <w:b w:val="0"/>
          <w:i/>
          <w:sz w:val="20"/>
        </w:rPr>
        <w:t>K.  Provenance</w:t>
      </w:r>
    </w:p>
    <w:p>
      <w:pPr>
        <w:spacing w:after="80" w:before="0" w:line="240" w:lineRule="auto"/>
        <w:ind w:firstLine="288"/>
        <w:jc w:val="both"/>
      </w:pPr>
      <w:r>
        <w:rPr>
          <w:rFonts w:ascii="Times New Roman" w:hAnsi="Times New Roman"/>
          <w:b w:val="0"/>
          <w:i w:val="0"/>
          <w:sz w:val="20"/>
        </w:rPr>
        <w:t>Each turn writes a durable record linking the emitted output to the evidence and decisions behind it: retrieved chunk identifiers, admitted case-law citations, engine invocations with success state, the arbitration verdict and the signals it was computed from, convergence counters, the models that served the turn, and the embedding and chunking versions required to reproduce retrieval. The answer is stored as a cryptographic digest plus a redacted preview rather than duplicated in full, so a record identifies the answer it describes without becoming a second copy of the user's legal correspondence. Personally identifying information is masked with the same routine applied to user-facing output, covering national identity numbers in both Latin and Urdu digit forms. Records are typed by turn kind - answer, clarification, or blocked - so that turns which asked a question rather than answering one are audited without being treated as answers.</w:t>
      </w:r>
    </w:p>
    <w:p>
      <w:pPr>
        <w:spacing w:after="80" w:before="200" w:line="240" w:lineRule="auto"/>
        <w:jc w:val="center"/>
      </w:pPr>
      <w:r>
        <w:rPr>
          <w:rFonts w:ascii="Times New Roman" w:hAnsi="Times New Roman"/>
          <w:b w:val="0"/>
          <w:i w:val="0"/>
          <w:sz w:val="20"/>
        </w:rPr>
        <w:t>IV.  EVALUATION PROTOCOL</w:t>
      </w:r>
    </w:p>
    <w:p>
      <w:pPr>
        <w:spacing w:after="60" w:before="120" w:line="240" w:lineRule="auto"/>
        <w:jc w:val="left"/>
      </w:pPr>
      <w:r>
        <w:rPr>
          <w:rFonts w:ascii="Times New Roman" w:hAnsi="Times New Roman"/>
          <w:b w:val="0"/>
          <w:i/>
          <w:sz w:val="20"/>
        </w:rPr>
        <w:t>A.  Dataset Construction</w:t>
      </w:r>
    </w:p>
    <w:p>
      <w:pPr>
        <w:spacing w:after="80" w:before="0" w:line="240" w:lineRule="auto"/>
        <w:ind w:firstLine="288"/>
        <w:jc w:val="both"/>
      </w:pPr>
      <w:r>
        <w:rPr>
          <w:rFonts w:ascii="Times New Roman" w:hAnsi="Times New Roman"/>
          <w:b w:val="0"/>
          <w:i w:val="0"/>
          <w:sz w:val="20"/>
        </w:rPr>
        <w:t>Rather than authoring question-answer pairs, we label recorded traffic. Each answered turn has already stored its query, the identifiers of the chunks retrieved for it, and the verdict reached, so annotation reduces to judging relevance over a fixed candidate set rather than inventing candidates. Following standard pooling practice, judgements are collected to a fixed depth of the ranked list; the depth is stored with each label, and metrics at deeper cut-offs are refused, since ranks below the pool are unjudged rather than known irrelevant.</w:t>
      </w:r>
    </w:p>
    <w:p>
      <w:pPr>
        <w:spacing w:after="80" w:before="0" w:line="240" w:lineRule="auto"/>
        <w:ind w:firstLine="288"/>
        <w:jc w:val="both"/>
      </w:pPr>
      <w:r>
        <w:rPr>
          <w:rFonts w:ascii="Times New Roman" w:hAnsi="Times New Roman"/>
          <w:b w:val="0"/>
          <w:i w:val="0"/>
          <w:sz w:val="20"/>
        </w:rPr>
        <w:t>Each turn additionally receives one of four outcome verdicts: correct, incorrect, correct refusal, or wrong refusal. Separating a correct abstention from a mistaken one is what makes risk-coverage analysis possible; collapsing them loses exactly the distinction the system is designed around. Turns on which no retrieved evidence was relevant are retained as the unanswerable split rather than discarded, since these are the cases where refusal is the correct behaviour.</w:t>
      </w:r>
    </w:p>
    <w:p>
      <w:pPr>
        <w:spacing w:after="60" w:before="120" w:line="240" w:lineRule="auto"/>
        <w:jc w:val="left"/>
      </w:pPr>
      <w:r>
        <w:rPr>
          <w:rFonts w:ascii="Times New Roman" w:hAnsi="Times New Roman"/>
          <w:b w:val="0"/>
          <w:i/>
          <w:sz w:val="20"/>
        </w:rPr>
        <w:t>B.  Query Set</w:t>
      </w:r>
    </w:p>
    <w:p>
      <w:pPr>
        <w:spacing w:after="80" w:before="0" w:line="240" w:lineRule="auto"/>
        <w:ind w:firstLine="288"/>
        <w:jc w:val="both"/>
      </w:pPr>
      <w:r>
        <w:rPr>
          <w:rFonts w:ascii="Times New Roman" w:hAnsi="Times New Roman"/>
          <w:b w:val="0"/>
          <w:i w:val="0"/>
          <w:sz w:val="20"/>
        </w:rPr>
        <w:t>Evaluation queries span six categories: answerable questions the corpus should support; out-of-jurisdiction queries using Indian statutory names; questions unanswerable from this corpus; code-switched queries in Roman Urdu and Urdu script; adversarial prompt-injection attempts; and off-topic input.</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State the final counts per category and be explicit about provenance of the queries. A set authored by the system's own developer is a bootstrap, not a benchmark; if the final set remains developer-authored, say so in Limitations rather than letting a reviewer find it.</w:t>
      </w:r>
      <w:r>
        <w:rPr>
          <w:rFonts w:ascii="Times New Roman" w:hAnsi="Times New Roman"/>
          <w:b/>
          <w:i w:val="0"/>
          <w:color w:val="C00000"/>
          <w:sz w:val="20"/>
        </w:rPr>
        <w:t>]</w:t>
      </w:r>
    </w:p>
    <w:p>
      <w:pPr>
        <w:spacing w:after="60" w:before="120" w:line="240" w:lineRule="auto"/>
        <w:jc w:val="left"/>
      </w:pPr>
      <w:r>
        <w:rPr>
          <w:rFonts w:ascii="Times New Roman" w:hAnsi="Times New Roman"/>
          <w:b w:val="0"/>
          <w:i/>
          <w:sz w:val="20"/>
        </w:rPr>
        <w:t>C.  Metrics</w:t>
      </w:r>
    </w:p>
    <w:p>
      <w:pPr>
        <w:spacing w:after="80" w:before="0" w:line="240" w:lineRule="auto"/>
        <w:ind w:firstLine="288"/>
        <w:jc w:val="both"/>
      </w:pPr>
      <w:r>
        <w:rPr>
          <w:rFonts w:ascii="Times New Roman" w:hAnsi="Times New Roman"/>
          <w:b w:val="0"/>
          <w:i w:val="0"/>
          <w:sz w:val="20"/>
        </w:rPr>
        <w:t>Retrieval is reported by Hit@k, mean reciprocal rank, and nDCG@k [21] at cut-offs within the pooling depth. Selective prediction is reported by risk-coverage curves, the area under the risk-coverage curve, and expected calibration error, together with the rate of ungrounded answers at a given coverage. Robustness is reported as the proportion of adversarial inputs refused, measured with all bypass paths closed.</w:t>
      </w:r>
    </w:p>
    <w:p>
      <w:pPr>
        <w:spacing w:after="80" w:before="200" w:line="240" w:lineRule="auto"/>
        <w:jc w:val="center"/>
      </w:pPr>
      <w:r>
        <w:rPr>
          <w:rFonts w:ascii="Times New Roman" w:hAnsi="Times New Roman"/>
          <w:b w:val="0"/>
          <w:i w:val="0"/>
          <w:sz w:val="20"/>
        </w:rPr>
        <w:t>V.  RESULTS</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Pending the labelled set. Do not draft narrative text here before the numbers exist. Planned tables: (1) retrieval metrics overall and per legal domain; (2) ablation - hybrid vs lexical-only vs dense-only, one-hop vs two-hop, normalised vs raw Roman Urdu; (3) abstention - arbitration enabled vs always-answer, with risk-coverage; (4) grounding - ungrounded rate with and without engine-aware verification. Ablation (4) is the strongest single result available and should be prioritised if space is short.</w:t>
      </w:r>
      <w:r>
        <w:rPr>
          <w:rFonts w:ascii="Times New Roman" w:hAnsi="Times New Roman"/>
          <w:b/>
          <w:i w:val="0"/>
          <w:color w:val="C00000"/>
          <w:sz w:val="20"/>
        </w:rPr>
        <w:t>]</w:t>
      </w:r>
    </w:p>
    <w:p>
      <w:pPr>
        <w:spacing w:after="80" w:before="200" w:line="240" w:lineRule="auto"/>
        <w:jc w:val="center"/>
      </w:pPr>
      <w:r>
        <w:rPr>
          <w:rFonts w:ascii="Times New Roman" w:hAnsi="Times New Roman"/>
          <w:b w:val="0"/>
          <w:i w:val="0"/>
          <w:sz w:val="20"/>
        </w:rPr>
        <w:t>VI.  DISCUSSION AND LIMITATIONS</w:t>
      </w:r>
    </w:p>
    <w:p>
      <w:pPr>
        <w:spacing w:after="80" w:before="0" w:line="240" w:lineRule="auto"/>
        <w:ind w:firstLine="288"/>
        <w:jc w:val="both"/>
      </w:pPr>
      <w:r>
        <w:rPr>
          <w:rFonts w:ascii="Times New Roman" w:hAnsi="Times New Roman"/>
          <w:b w:val="0"/>
          <w:i w:val="0"/>
          <w:sz w:val="20"/>
        </w:rPr>
        <w:t>Two findings from deployment generalise beyond this system. First, defence in depth at a single point in a pipeline is insufficient when alternative paths exist that skip that point. An intent-classification shortcut answered certain turns without entering the graph and so bypassed the injection gatekeeper entirely; the classifier was not weak, it was simply not consulted. Any robustness figure measured in that configuration is computed only over traffic that reached the defended component, which is a measurement error rather than a model error. Second, in a specialised domain, keyword-based safety filters collide with legitimate vocabulary: our injection filter matched a power-of-attorney question containing the phrase 'unrestricted agent'. The cost of a false positive here is refusing a user with a genuine legal problem, which argues for narrow patterns backed by a model layer rather than broad ones.</w:t>
      </w:r>
    </w:p>
    <w:p>
      <w:pPr>
        <w:spacing w:after="80" w:before="0" w:line="240" w:lineRule="auto"/>
        <w:ind w:firstLine="288"/>
        <w:jc w:val="both"/>
      </w:pPr>
      <w:r>
        <w:rPr>
          <w:rFonts w:ascii="Times New Roman" w:hAnsi="Times New Roman"/>
          <w:b w:val="0"/>
          <w:i w:val="0"/>
          <w:sz w:val="20"/>
        </w:rPr>
        <w:t>The work has substantive limitations, which we state rather than leave to be discovered. Calibration is fitted on a modest volume of labelled data drawn from a single deployment, so the mapping should be expected to shift under a different user population; conformal methods [11] would give coverage guarantees that our post-hoc fitting does not. Relevance judgements are the authors' own, not adjudicated by qualified practitioners, which is a real constraint on any claim about legal correctness as opposed to retrieval quality. Evaluation queries were authored alongside the system, making them a bootstrap rather than an independent benchmark. The cost vector in (2) is a hand-set prior encoding a plausible ordering of harms, not a quantity elicited from practitioners or derived from outcomes. Coverage is single-jurisdiction, and the corpus is weighted towards statute relative to case law, so performance on precedent-driven questions is likely weaker than on statutory ones. Finally, the pooled relevance judgements bound the depth at which ranking metrics are meaningful, and we report only cut-offs within that depth.</w:t>
      </w:r>
    </w:p>
    <w:p>
      <w:pPr>
        <w:spacing w:after="80" w:before="200" w:line="240" w:lineRule="auto"/>
        <w:jc w:val="center"/>
      </w:pPr>
      <w:r>
        <w:rPr>
          <w:rFonts w:ascii="Times New Roman" w:hAnsi="Times New Roman"/>
          <w:b w:val="0"/>
          <w:i w:val="0"/>
          <w:sz w:val="20"/>
        </w:rPr>
        <w:t>VII.  CONCLUSION</w:t>
      </w:r>
    </w:p>
    <w:p>
      <w:pPr>
        <w:spacing w:after="80" w:before="0" w:line="240" w:lineRule="auto"/>
        <w:ind w:firstLine="288"/>
        <w:jc w:val="both"/>
      </w:pPr>
      <w:r>
        <w:rPr>
          <w:rFonts w:ascii="Times New Roman" w:hAnsi="Times New Roman"/>
          <w:b w:val="0"/>
          <w:i w:val="0"/>
          <w:sz w:val="20"/>
        </w:rPr>
        <w:t>Legal question answering in a low-resource, code-switched jurisdiction is not served by transplanting an English common-law pipeline, and it is not adequately measured by answer quality alone. We described a system that treats deterministic statutory computation as evidence its own verifier can accept, that routes every query through an explicit decision between answering, clarifying and refusing, and that records for each turn the evidence and decisions behind the answer it emitted. We further described an evaluation protocol that builds an abstention-aware test set by labelling recorded traffic, so that correct refusals are measured rather than discarded.</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Close with one concrete number once measured - ideally the reduction in ungrounded answers from engine-aware verification, which is the cleanest single result available.</w:t>
      </w:r>
      <w:r>
        <w:rPr>
          <w:rFonts w:ascii="Times New Roman" w:hAnsi="Times New Roman"/>
          <w:b/>
          <w:i w:val="0"/>
          <w:color w:val="C00000"/>
          <w:sz w:val="20"/>
        </w:rPr>
        <w:t>]</w:t>
      </w:r>
    </w:p>
    <w:p>
      <w:pPr>
        <w:spacing w:after="80" w:before="200" w:line="240" w:lineRule="auto"/>
        <w:jc w:val="center"/>
      </w:pPr>
      <w:r>
        <w:rPr>
          <w:rFonts w:ascii="Times New Roman" w:hAnsi="Times New Roman"/>
          <w:b w:val="0"/>
          <w:i w:val="0"/>
          <w:sz w:val="20"/>
        </w:rPr>
        <w:t>ETHICAL CONSIDERATIONS</w:t>
      </w:r>
    </w:p>
    <w:p>
      <w:pPr>
        <w:spacing w:after="80" w:before="0" w:line="240" w:lineRule="auto"/>
        <w:ind w:firstLine="288"/>
        <w:jc w:val="both"/>
      </w:pPr>
      <w:r>
        <w:rPr>
          <w:rFonts w:ascii="Times New Roman" w:hAnsi="Times New Roman"/>
          <w:b w:val="0"/>
          <w:i w:val="0"/>
          <w:sz w:val="20"/>
        </w:rPr>
        <w:t>The system provides legal information, not legal advice, and every answer carries an explicit disclaimer directing users to a qualified practitioner. Refusal is treated as a first-class outcome precisely because a confident wrong answer in this domain can cause material harm. Stored records mask personally identifying information, and audit records are retrievable only by the user who produced them.</w:t>
      </w:r>
    </w:p>
    <w:p>
      <w:pPr>
        <w:spacing w:after="80" w:before="200" w:line="240" w:lineRule="auto"/>
        <w:jc w:val="center"/>
      </w:pPr>
      <w:r>
        <w:rPr>
          <w:rFonts w:ascii="Times New Roman" w:hAnsi="Times New Roman"/>
          <w:b w:val="0"/>
          <w:i w:val="0"/>
          <w:sz w:val="20"/>
        </w:rPr>
        <w:t>REFERENCES</w:t>
      </w:r>
    </w:p>
    <w:p>
      <w:pPr>
        <w:spacing w:after="80" w:line="240" w:lineRule="auto"/>
        <w:ind w:firstLine="288"/>
        <w:jc w:val="both"/>
      </w:pPr>
      <w:r>
        <w:rPr>
          <w:rFonts w:ascii="Times New Roman" w:hAnsi="Times New Roman"/>
          <w:b/>
          <w:i w:val="0"/>
          <w:color w:val="C00000"/>
          <w:sz w:val="20"/>
        </w:rPr>
        <w:t xml:space="preserve">[TODO: </w:t>
      </w:r>
      <w:r>
        <w:rPr>
          <w:rFonts w:ascii="Times New Roman" w:hAnsi="Times New Roman"/>
          <w:b w:val="0"/>
          <w:i/>
          <w:color w:val="C00000"/>
          <w:sz w:val="20"/>
        </w:rPr>
        <w:t>VERIFY EVERY ENTRY BELOW against the actual paper before submitting - page numbers, volume, exact venue name and year. Delete any you have not opened. Entries [19] and [20] are dataset resources whose citation form and licence must be confirmed.</w:t>
      </w:r>
      <w:r>
        <w:rPr>
          <w:rFonts w:ascii="Times New Roman" w:hAnsi="Times New Roman"/>
          <w:b/>
          <w:i w:val="0"/>
          <w:color w:val="C00000"/>
          <w:sz w:val="20"/>
        </w:rPr>
        <w:t>]</w:t>
      </w:r>
    </w:p>
    <w:p>
      <w:pPr>
        <w:spacing w:after="40" w:before="0" w:line="240" w:lineRule="auto"/>
        <w:ind w:left="317" w:hanging="317"/>
        <w:jc w:val="both"/>
      </w:pPr>
      <w:r>
        <w:rPr>
          <w:rFonts w:ascii="Times New Roman" w:hAnsi="Times New Roman"/>
          <w:b w:val="0"/>
          <w:i w:val="0"/>
          <w:sz w:val="16"/>
        </w:rPr>
        <w:t>[1]</w:t>
        <w:tab/>
        <w:t>P. Lewis et al., "Retrieval-augmented generation for knowledge-intensive NLP tasks," in Proc. Advances in Neural Information Processing Systems (NeurIPS), 2020.</w:t>
      </w:r>
    </w:p>
    <w:p>
      <w:pPr>
        <w:spacing w:after="40" w:before="0" w:line="240" w:lineRule="auto"/>
        <w:ind w:left="317" w:hanging="317"/>
        <w:jc w:val="both"/>
      </w:pPr>
      <w:r>
        <w:rPr>
          <w:rFonts w:ascii="Times New Roman" w:hAnsi="Times New Roman"/>
          <w:b w:val="0"/>
          <w:i w:val="0"/>
          <w:sz w:val="16"/>
        </w:rPr>
        <w:t>[2]</w:t>
        <w:tab/>
        <w:t>I. Chalkidis, M. Fergadiotis, P. Malakasiotis, N. Aletras, and I. Androutsopoulos, "LEGAL-BERT: The muppets straight out of law school," in Findings of EMNLP, 2020.</w:t>
      </w:r>
    </w:p>
    <w:p>
      <w:pPr>
        <w:spacing w:after="40" w:before="0" w:line="240" w:lineRule="auto"/>
        <w:ind w:left="317" w:hanging="317"/>
        <w:jc w:val="both"/>
      </w:pPr>
      <w:r>
        <w:rPr>
          <w:rFonts w:ascii="Times New Roman" w:hAnsi="Times New Roman"/>
          <w:b w:val="0"/>
          <w:i w:val="0"/>
          <w:sz w:val="16"/>
        </w:rPr>
        <w:t>[3]</w:t>
        <w:tab/>
        <w:t>N. Guha et al., "LegalBench: A collaboratively built benchmark for measuring legal reasoning in large language models," in Proc. NeurIPS, 2023.</w:t>
      </w:r>
    </w:p>
    <w:p>
      <w:pPr>
        <w:spacing w:after="40" w:before="0" w:line="240" w:lineRule="auto"/>
        <w:ind w:left="317" w:hanging="317"/>
        <w:jc w:val="both"/>
      </w:pPr>
      <w:r>
        <w:rPr>
          <w:rFonts w:ascii="Times New Roman" w:hAnsi="Times New Roman"/>
          <w:b w:val="0"/>
          <w:i w:val="0"/>
          <w:sz w:val="16"/>
        </w:rPr>
        <w:t>[4]</w:t>
        <w:tab/>
        <w:t>V. Karpukhin et al., "Dense passage retrieval for open-domain question answering," in Proc. EMNLP, 2020.</w:t>
      </w:r>
    </w:p>
    <w:p>
      <w:pPr>
        <w:spacing w:after="40" w:before="0" w:line="240" w:lineRule="auto"/>
        <w:ind w:left="317" w:hanging="317"/>
        <w:jc w:val="both"/>
      </w:pPr>
      <w:r>
        <w:rPr>
          <w:rFonts w:ascii="Times New Roman" w:hAnsi="Times New Roman"/>
          <w:b w:val="0"/>
          <w:i w:val="0"/>
          <w:sz w:val="16"/>
        </w:rPr>
        <w:t>[5]</w:t>
        <w:tab/>
        <w:t>A. Asai, Z. Wu, Y. Wang, A. Sil, and H. Hajishirzi, "Self-RAG: Learning to retrieve, generate, and critique through self-reflection," in Proc. International Conference on Learning Representations (ICLR), 2024.</w:t>
      </w:r>
    </w:p>
    <w:p>
      <w:pPr>
        <w:spacing w:after="40" w:before="0" w:line="240" w:lineRule="auto"/>
        <w:ind w:left="317" w:hanging="317"/>
        <w:jc w:val="both"/>
      </w:pPr>
      <w:r>
        <w:rPr>
          <w:rFonts w:ascii="Times New Roman" w:hAnsi="Times New Roman"/>
          <w:b w:val="0"/>
          <w:i w:val="0"/>
          <w:sz w:val="16"/>
        </w:rPr>
        <w:t>[6]</w:t>
        <w:tab/>
        <w:t>R. El-Yaniv and Y. Wiener, "On the foundations of noise-free selective classification," Journal of Machine Learning Research, vol. 11, pp. 1605-1641, 2010.</w:t>
      </w:r>
    </w:p>
    <w:p>
      <w:pPr>
        <w:spacing w:after="40" w:before="0" w:line="240" w:lineRule="auto"/>
        <w:ind w:left="317" w:hanging="317"/>
        <w:jc w:val="both"/>
      </w:pPr>
      <w:r>
        <w:rPr>
          <w:rFonts w:ascii="Times New Roman" w:hAnsi="Times New Roman"/>
          <w:b w:val="0"/>
          <w:i w:val="0"/>
          <w:sz w:val="16"/>
        </w:rPr>
        <w:t>[7]</w:t>
        <w:tab/>
        <w:t>Y. Geifman and R. El-Yaniv, "Selective classification for deep neural networks," in Proc. NeurIPS, 2017.</w:t>
      </w:r>
    </w:p>
    <w:p>
      <w:pPr>
        <w:spacing w:after="40" w:before="0" w:line="240" w:lineRule="auto"/>
        <w:ind w:left="317" w:hanging="317"/>
        <w:jc w:val="both"/>
      </w:pPr>
      <w:r>
        <w:rPr>
          <w:rFonts w:ascii="Times New Roman" w:hAnsi="Times New Roman"/>
          <w:b w:val="0"/>
          <w:i w:val="0"/>
          <w:sz w:val="16"/>
        </w:rPr>
        <w:t>[8]</w:t>
        <w:tab/>
        <w:t>C. Guo, G. Pleiss, Y. Sun, and K. Q. Weinberger, "On calibration of modern neural networks," in Proc. International Conference on Machine Learning (ICML), 2017.</w:t>
      </w:r>
    </w:p>
    <w:p>
      <w:pPr>
        <w:spacing w:after="40" w:before="0" w:line="240" w:lineRule="auto"/>
        <w:ind w:left="317" w:hanging="317"/>
        <w:jc w:val="both"/>
      </w:pPr>
      <w:r>
        <w:rPr>
          <w:rFonts w:ascii="Times New Roman" w:hAnsi="Times New Roman"/>
          <w:b w:val="0"/>
          <w:i w:val="0"/>
          <w:sz w:val="16"/>
        </w:rPr>
        <w:t>[9]</w:t>
        <w:tab/>
        <w:t>J. Platt, "Probabilistic outputs for support vector machines and comparisons to regularized likelihood methods," in Advances in Large Margin Classifiers, MIT Press, 1999.</w:t>
      </w:r>
    </w:p>
    <w:p>
      <w:pPr>
        <w:spacing w:after="40" w:before="0" w:line="240" w:lineRule="auto"/>
        <w:ind w:left="317" w:hanging="317"/>
        <w:jc w:val="both"/>
      </w:pPr>
      <w:r>
        <w:rPr>
          <w:rFonts w:ascii="Times New Roman" w:hAnsi="Times New Roman"/>
          <w:b w:val="0"/>
          <w:i w:val="0"/>
          <w:sz w:val="16"/>
        </w:rPr>
        <w:t>[10]</w:t>
        <w:tab/>
        <w:t>B. Zadrozny and C. Elkan, "Transforming classifier scores into accurate multiclass probability estimates," in Proc. ACM SIGKDD, 2002.</w:t>
      </w:r>
    </w:p>
    <w:p>
      <w:pPr>
        <w:spacing w:after="40" w:before="0" w:line="240" w:lineRule="auto"/>
        <w:ind w:left="317" w:hanging="317"/>
        <w:jc w:val="both"/>
      </w:pPr>
      <w:r>
        <w:rPr>
          <w:rFonts w:ascii="Times New Roman" w:hAnsi="Times New Roman"/>
          <w:b w:val="0"/>
          <w:i w:val="0"/>
          <w:sz w:val="16"/>
        </w:rPr>
        <w:t>[11]</w:t>
        <w:tab/>
        <w:t>A. N. Angelopoulos and S. Bates, "A gentle introduction to conformal prediction and distribution-free uncertainty quantification," arXiv preprint, 2021.</w:t>
      </w:r>
    </w:p>
    <w:p>
      <w:pPr>
        <w:spacing w:after="40" w:before="0" w:line="240" w:lineRule="auto"/>
        <w:ind w:left="317" w:hanging="317"/>
        <w:jc w:val="both"/>
      </w:pPr>
      <w:r>
        <w:rPr>
          <w:rFonts w:ascii="Times New Roman" w:hAnsi="Times New Roman"/>
          <w:b w:val="0"/>
          <w:i w:val="0"/>
          <w:sz w:val="16"/>
        </w:rPr>
        <w:t>[12]</w:t>
        <w:tab/>
        <w:t>S. Kadavath et al., "Language models (mostly) know what they know," arXiv preprint, 2022.</w:t>
      </w:r>
    </w:p>
    <w:p>
      <w:pPr>
        <w:spacing w:after="40" w:before="0" w:line="240" w:lineRule="auto"/>
        <w:ind w:left="317" w:hanging="317"/>
        <w:jc w:val="both"/>
      </w:pPr>
      <w:r>
        <w:rPr>
          <w:rFonts w:ascii="Times New Roman" w:hAnsi="Times New Roman"/>
          <w:b w:val="0"/>
          <w:i w:val="0"/>
          <w:sz w:val="16"/>
        </w:rPr>
        <w:t>[13]</w:t>
        <w:tab/>
        <w:t>Z. Ji et al., "Survey of hallucination in natural language generation," ACM Computing Surveys, vol. 55, no. 12, 2023.</w:t>
      </w:r>
    </w:p>
    <w:p>
      <w:pPr>
        <w:spacing w:after="40" w:before="0" w:line="240" w:lineRule="auto"/>
        <w:ind w:left="317" w:hanging="317"/>
        <w:jc w:val="both"/>
      </w:pPr>
      <w:r>
        <w:rPr>
          <w:rFonts w:ascii="Times New Roman" w:hAnsi="Times New Roman"/>
          <w:b w:val="0"/>
          <w:i w:val="0"/>
          <w:sz w:val="16"/>
        </w:rPr>
        <w:t>[14]</w:t>
        <w:tab/>
        <w:t>L. Wang, N. Yang, X. Huang, L. Yang, R. Majumder, and F. Wei, "Multilingual E5 text embeddings: A technical report," arXiv preprint, 2024.</w:t>
      </w:r>
    </w:p>
    <w:p>
      <w:pPr>
        <w:spacing w:after="40" w:before="0" w:line="240" w:lineRule="auto"/>
        <w:ind w:left="317" w:hanging="317"/>
        <w:jc w:val="both"/>
      </w:pPr>
      <w:r>
        <w:rPr>
          <w:rFonts w:ascii="Times New Roman" w:hAnsi="Times New Roman"/>
          <w:b w:val="0"/>
          <w:i w:val="0"/>
          <w:sz w:val="16"/>
        </w:rPr>
        <w:t>[15]</w:t>
        <w:tab/>
        <w:t>S. Robertson and H. Zaragoza, "The probabilistic relevance framework: BM25 and beyond," Foundations and Trends in Information Retrieval, vol. 3, no. 4, pp. 333-389, 2009.</w:t>
      </w:r>
    </w:p>
    <w:p>
      <w:pPr>
        <w:spacing w:after="40" w:before="0" w:line="240" w:lineRule="auto"/>
        <w:ind w:left="317" w:hanging="317"/>
        <w:jc w:val="both"/>
      </w:pPr>
      <w:r>
        <w:rPr>
          <w:rFonts w:ascii="Times New Roman" w:hAnsi="Times New Roman"/>
          <w:b w:val="0"/>
          <w:i w:val="0"/>
          <w:sz w:val="16"/>
        </w:rPr>
        <w:t>[16]</w:t>
        <w:tab/>
        <w:t>G. V. Cormack, C. L. A. Clarke, and S. Buttcher, "Reciprocal rank fusion outperforms Condorcet and individual rank learning methods," in Proc. ACM SIGIR, 2009.</w:t>
      </w:r>
    </w:p>
    <w:p>
      <w:pPr>
        <w:spacing w:after="40" w:before="0" w:line="240" w:lineRule="auto"/>
        <w:ind w:left="317" w:hanging="317"/>
        <w:jc w:val="both"/>
      </w:pPr>
      <w:r>
        <w:rPr>
          <w:rFonts w:ascii="Times New Roman" w:hAnsi="Times New Roman"/>
          <w:b w:val="0"/>
          <w:i w:val="0"/>
          <w:sz w:val="16"/>
        </w:rPr>
        <w:t>[17]</w:t>
        <w:tab/>
        <w:t>F. Perez and I. Ribeiro, "Ignore previous prompt: Attack techniques for language models," in NeurIPS ML Safety Workshop, 2022.</w:t>
      </w:r>
    </w:p>
    <w:p>
      <w:pPr>
        <w:spacing w:after="40" w:before="0" w:line="240" w:lineRule="auto"/>
        <w:ind w:left="317" w:hanging="317"/>
        <w:jc w:val="both"/>
      </w:pPr>
      <w:r>
        <w:rPr>
          <w:rFonts w:ascii="Times New Roman" w:hAnsi="Times New Roman"/>
          <w:b w:val="0"/>
          <w:i w:val="0"/>
          <w:sz w:val="16"/>
        </w:rPr>
        <w:t>[18]</w:t>
        <w:tab/>
        <w:t>K. Greshake, S. Abdelnabi, S. Mishra, C. Endres, T. Holz, and M. Fritz, "Not what you've signed up for: Compromising real-world LLM-integrated applications with indirect prompt injection," in Proc. ACM Workshop on Artificial Intelligence and Security (AISec), 2023.</w:t>
      </w:r>
    </w:p>
    <w:p>
      <w:pPr>
        <w:spacing w:after="40" w:before="0" w:line="240" w:lineRule="auto"/>
        <w:ind w:left="317" w:hanging="317"/>
        <w:jc w:val="both"/>
      </w:pPr>
      <w:r>
        <w:rPr>
          <w:rFonts w:ascii="Times New Roman" w:hAnsi="Times New Roman"/>
          <w:b w:val="0"/>
          <w:i w:val="0"/>
          <w:sz w:val="16"/>
        </w:rPr>
        <w:t>[19]</w:t>
        <w:tab/>
        <w:t>"Pakistan Laws Dataset." [Online]. Available: https://huggingface.co/datasets/AyeshaJadoon/Pakistan_Laws_Dataset [VERIFY authorship, citation form and licence]</w:t>
      </w:r>
    </w:p>
    <w:p>
      <w:pPr>
        <w:spacing w:after="40" w:before="0" w:line="240" w:lineRule="auto"/>
        <w:ind w:left="317" w:hanging="317"/>
        <w:jc w:val="both"/>
      </w:pPr>
      <w:r>
        <w:rPr>
          <w:rFonts w:ascii="Times New Roman" w:hAnsi="Times New Roman"/>
          <w:b w:val="0"/>
          <w:i w:val="0"/>
          <w:sz w:val="16"/>
        </w:rPr>
        <w:t>[20]</w:t>
        <w:tab/>
        <w:t>"LEGAL-UQA: A bilingual English-Urdu legal question answering dataset." [Online]. Available: https://huggingface.co/datasets/nlp-anonymous-researcher/LEGAL-UQA [VERIFY authorship, citation form and licence]</w:t>
      </w:r>
    </w:p>
    <w:p>
      <w:pPr>
        <w:spacing w:after="40" w:before="0" w:line="240" w:lineRule="auto"/>
        <w:ind w:left="317" w:hanging="317"/>
        <w:jc w:val="both"/>
      </w:pPr>
      <w:r>
        <w:rPr>
          <w:rFonts w:ascii="Times New Roman" w:hAnsi="Times New Roman"/>
          <w:b w:val="0"/>
          <w:i w:val="0"/>
          <w:sz w:val="16"/>
        </w:rPr>
        <w:t>[21]</w:t>
        <w:tab/>
        <w:t>K. Jarvelin and J. Kekalainen, "Cumulated gain-based evaluation of IR techniques," ACM Transactions on Information Systems, vol. 20, no. 4, pp. 422-446, 2002.</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