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89B" w:rsidRDefault="003801F4">
      <w:pPr>
        <w:spacing w:after="60"/>
      </w:pPr>
      <w:r>
        <w:rPr>
          <w:b/>
          <w:bCs/>
          <w:color w:val="1E2761"/>
        </w:rPr>
        <w:t>DATA ANALYTICS PROJECT REPORT</w:t>
      </w:r>
    </w:p>
    <w:p w:rsidR="0018489B" w:rsidRDefault="003801F4">
      <w:pPr>
        <w:pStyle w:val="Title"/>
        <w:spacing w:after="120"/>
      </w:pPr>
      <w:r>
        <w:rPr>
          <w:b/>
          <w:bCs/>
          <w:color w:val="1E2761"/>
          <w:sz w:val="44"/>
          <w:szCs w:val="44"/>
        </w:rPr>
        <w:t>Country-Wise Worker Remittance Dashboard</w:t>
      </w:r>
    </w:p>
    <w:p w:rsidR="0018489B" w:rsidRDefault="003801F4">
      <w:pPr>
        <w:spacing w:after="300"/>
      </w:pPr>
      <w:r>
        <w:rPr>
          <w:i/>
          <w:iCs/>
          <w:color w:val="555555"/>
          <w:sz w:val="22"/>
          <w:szCs w:val="22"/>
        </w:rPr>
        <w:t>A Power BI dashboard analyzing Pakistan's worker remittances by country, FY 1972 – FY 2026 (55 years)</w:t>
      </w:r>
    </w:p>
    <w:p w:rsidR="0018489B" w:rsidRDefault="003801F4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1. Project Overview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>This project presents an interactive Power BI dashboard that tracks worker remittances sent to Pakistan from 34 countries across a 55-year period, from FY July-72 to FY Jun-26. The dashboard consolidates decades of remittance data into a single, decision-r</w:t>
      </w:r>
      <w:r>
        <w:rPr>
          <w:color w:val="222222"/>
          <w:sz w:val="22"/>
          <w:szCs w:val="22"/>
        </w:rPr>
        <w:t>eady view, allowing users to filter by country, month, and year, and to instantly see how inflows compare across geographies and time.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>The dashboard was built as part of a Data Analytics portfolio to demonstrate skills in data modelling, DAX-based KPI desi</w:t>
      </w:r>
      <w:r>
        <w:rPr>
          <w:color w:val="222222"/>
          <w:sz w:val="22"/>
          <w:szCs w:val="22"/>
        </w:rPr>
        <w:t>gn, and dashboard storytelling using real-world government financial data.</w:t>
      </w:r>
    </w:p>
    <w:p w:rsidR="0018489B" w:rsidRDefault="003801F4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2. Objective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Consolidate 55 years of country-wise remittance data into one interactive dashboard.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Identify the highest and lowest performing countries by average remittance.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Reveal </w:t>
      </w:r>
      <w:r>
        <w:rPr>
          <w:color w:val="222222"/>
          <w:sz w:val="22"/>
          <w:szCs w:val="22"/>
        </w:rPr>
        <w:t>seasonal (monthly) remittance patterns to support forecasting.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Provide slicers (Country, Month, Year) so stakeholders can self-serve their own analysis.</w:t>
      </w:r>
    </w:p>
    <w:p w:rsidR="0018489B" w:rsidRDefault="003801F4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3. Data Source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 xml:space="preserve">The dashboard is built on data from the State Bank of Pakistan (SBP) — the Country-wise </w:t>
      </w:r>
      <w:r>
        <w:rPr>
          <w:color w:val="222222"/>
          <w:sz w:val="22"/>
          <w:szCs w:val="22"/>
        </w:rPr>
        <w:t>Workers' Remittances dataset (Zone Smart dataset). The report footer notes that the dashboard is "built on data, not opinion," underscoring that every KPI and chart is traceable to this official source.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>Year slicer input convention used in the dashboard: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E</w:t>
      </w:r>
      <w:r>
        <w:rPr>
          <w:color w:val="222222"/>
          <w:sz w:val="22"/>
          <w:szCs w:val="22"/>
        </w:rPr>
        <w:t>nter 99 for 1999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Enter 00 for 2000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Enter 01 for 2001 — and so on, using the last two digits of the year</w:t>
      </w:r>
    </w:p>
    <w:p w:rsidR="0018489B" w:rsidRDefault="003801F4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4. Key Metrics (KPI Cards)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>The top of the dashboard surfaces four headline KPIs: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18489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ADCFC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18489B" w:rsidRDefault="003801F4">
            <w:pPr>
              <w:spacing w:after="40"/>
              <w:jc w:val="center"/>
            </w:pPr>
            <w:r>
              <w:rPr>
                <w:b/>
                <w:bCs/>
                <w:color w:val="1E2761"/>
                <w:sz w:val="30"/>
                <w:szCs w:val="30"/>
              </w:rPr>
              <w:t>34</w:t>
            </w:r>
          </w:p>
          <w:p w:rsidR="0018489B" w:rsidRDefault="003801F4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Countries</w:t>
            </w:r>
          </w:p>
        </w:tc>
        <w:tc>
          <w:tcPr>
            <w:tcW w:w="1250" w:type="pct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ADCFC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18489B" w:rsidRDefault="003801F4">
            <w:pPr>
              <w:spacing w:after="40"/>
              <w:jc w:val="center"/>
            </w:pPr>
            <w:r>
              <w:rPr>
                <w:b/>
                <w:bCs/>
                <w:color w:val="1E2761"/>
                <w:sz w:val="30"/>
                <w:szCs w:val="30"/>
              </w:rPr>
              <w:t>1,136,884.20</w:t>
            </w:r>
          </w:p>
          <w:p w:rsidR="0018489B" w:rsidRDefault="003801F4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Remittance (Million)</w:t>
            </w:r>
          </w:p>
        </w:tc>
        <w:tc>
          <w:tcPr>
            <w:tcW w:w="1250" w:type="pct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ADCFC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18489B" w:rsidRDefault="003801F4">
            <w:pPr>
              <w:spacing w:after="40"/>
              <w:jc w:val="center"/>
            </w:pPr>
            <w:r>
              <w:rPr>
                <w:b/>
                <w:bCs/>
                <w:color w:val="1E2761"/>
                <w:sz w:val="30"/>
                <w:szCs w:val="30"/>
              </w:rPr>
              <w:t>51.60</w:t>
            </w:r>
          </w:p>
          <w:p w:rsidR="0018489B" w:rsidRDefault="003801F4">
            <w:pPr>
              <w:jc w:val="center"/>
            </w:pPr>
            <w:r>
              <w:rPr>
                <w:color w:val="555555"/>
                <w:sz w:val="18"/>
                <w:szCs w:val="18"/>
              </w:rPr>
              <w:t>Average Remittance</w:t>
            </w:r>
          </w:p>
        </w:tc>
        <w:tc>
          <w:tcPr>
            <w:tcW w:w="1250" w:type="pct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ADCFC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18489B" w:rsidRDefault="003801F4">
            <w:pPr>
              <w:spacing w:after="40"/>
              <w:jc w:val="center"/>
            </w:pPr>
            <w:r>
              <w:rPr>
                <w:b/>
                <w:bCs/>
                <w:color w:val="1E2761"/>
                <w:sz w:val="30"/>
                <w:szCs w:val="30"/>
              </w:rPr>
              <w:t>55</w:t>
            </w:r>
          </w:p>
          <w:p w:rsidR="0018489B" w:rsidRDefault="003801F4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Years</w:t>
            </w:r>
          </w:p>
        </w:tc>
      </w:tr>
    </w:tbl>
    <w:p w:rsidR="0018489B" w:rsidRDefault="0018489B">
      <w:pPr>
        <w:spacing w:after="200"/>
      </w:pPr>
    </w:p>
    <w:p w:rsidR="0018489B" w:rsidRDefault="003801F4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5. Dashboard Design &amp; Features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 xml:space="preserve">The dashboard layout follows a top-down analytical flow: filters on the left, headline KPIs across the top, and </w:t>
      </w:r>
      <w:proofErr w:type="gramStart"/>
      <w:r>
        <w:rPr>
          <w:color w:val="222222"/>
          <w:sz w:val="22"/>
          <w:szCs w:val="22"/>
        </w:rPr>
        <w:t>detail</w:t>
      </w:r>
      <w:proofErr w:type="gramEnd"/>
      <w:r>
        <w:rPr>
          <w:color w:val="222222"/>
          <w:sz w:val="22"/>
          <w:szCs w:val="22"/>
        </w:rPr>
        <w:t xml:space="preserve"> visuals below.</w:t>
      </w:r>
    </w:p>
    <w:p w:rsidR="0018489B" w:rsidRDefault="003801F4">
      <w:pPr>
        <w:pStyle w:val="Heading2"/>
        <w:spacing w:before="240" w:after="120"/>
      </w:pPr>
      <w:r>
        <w:rPr>
          <w:b/>
          <w:bCs/>
          <w:color w:val="1E2761"/>
          <w:sz w:val="24"/>
          <w:szCs w:val="24"/>
        </w:rPr>
        <w:lastRenderedPageBreak/>
        <w:t>5.1 Filters / Slicers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Countries — a scrollable list including Abu Dhabi, Australia, Bahrain, Belgium, and more.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Month — Jan through Dec, for seasonal drill-down.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Year — a text-entry slicer using the two-digit year convention described above.</w:t>
      </w:r>
    </w:p>
    <w:p w:rsidR="0018489B" w:rsidRDefault="003801F4">
      <w:pPr>
        <w:pStyle w:val="Heading2"/>
        <w:spacing w:before="240" w:after="120"/>
      </w:pPr>
      <w:r>
        <w:rPr>
          <w:b/>
          <w:bCs/>
          <w:color w:val="1E2761"/>
          <w:sz w:val="24"/>
          <w:szCs w:val="24"/>
        </w:rPr>
        <w:t>5.2 Visuals</w:t>
      </w:r>
      <w:bookmarkStart w:id="0" w:name="_GoBack"/>
      <w:bookmarkEnd w:id="0"/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Countries vs. Average Remittance table — a ranked breakdown by country/category.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Top 5 Countries with Highest Average Remittance — bar chart.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Top 5 Countries with Lowest Average Remittance — bar chart.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Months with Remittance </w:t>
      </w:r>
      <w:proofErr w:type="gramStart"/>
      <w:r>
        <w:rPr>
          <w:color w:val="222222"/>
          <w:sz w:val="22"/>
          <w:szCs w:val="22"/>
        </w:rPr>
        <w:t>Above</w:t>
      </w:r>
      <w:proofErr w:type="gramEnd"/>
      <w:r>
        <w:rPr>
          <w:color w:val="222222"/>
          <w:sz w:val="22"/>
          <w:szCs w:val="22"/>
        </w:rPr>
        <w:t xml:space="preserve"> Average — a highlighted c</w:t>
      </w:r>
      <w:r>
        <w:rPr>
          <w:color w:val="222222"/>
          <w:sz w:val="22"/>
          <w:szCs w:val="22"/>
        </w:rPr>
        <w:t>ard grid (Mar, Jun, May, Apr).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Sum of Remittance in USD by Month — trend line across the calendar.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Average Remittance by Month — trend line showing seasonal average.</w:t>
      </w:r>
    </w:p>
    <w:p w:rsidR="0018489B" w:rsidRDefault="003801F4">
      <w:pPr>
        <w:spacing w:before="200" w:after="100"/>
      </w:pPr>
      <w:r>
        <w:rPr>
          <w:b/>
          <w:bCs/>
          <w:color w:val="1E2761"/>
          <w:sz w:val="24"/>
          <w:szCs w:val="24"/>
        </w:rPr>
        <w:t>Dashboard Screenshot</w:t>
      </w:r>
    </w:p>
    <w:p w:rsidR="0018489B" w:rsidRDefault="001E06AF">
      <w:pPr>
        <w:spacing w:after="300"/>
        <w:jc w:val="center"/>
      </w:pPr>
      <w:r>
        <w:rPr>
          <w:noProof/>
        </w:rPr>
        <w:drawing>
          <wp:inline distT="0" distB="0" distL="0" distR="0">
            <wp:extent cx="6400800" cy="3574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shboard_Screensho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89B" w:rsidRDefault="003801F4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6. Key Insights</w:t>
      </w:r>
    </w:p>
    <w:p w:rsidR="0018489B" w:rsidRDefault="003801F4">
      <w:pPr>
        <w:pStyle w:val="Heading2"/>
        <w:spacing w:before="240" w:after="120"/>
      </w:pPr>
      <w:r>
        <w:rPr>
          <w:b/>
          <w:bCs/>
          <w:color w:val="1E2761"/>
          <w:sz w:val="24"/>
          <w:szCs w:val="24"/>
        </w:rPr>
        <w:t>6.1 Highest vs. Lowest Average Remittance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>The categ</w:t>
      </w:r>
      <w:r>
        <w:rPr>
          <w:color w:val="222222"/>
          <w:sz w:val="22"/>
          <w:szCs w:val="22"/>
        </w:rPr>
        <w:t>ories/countries with the highest average remittance — led by the Cash Flow category (716.22), Saudi Arabia (190.81), and UAE (141.53) — dominate total inflows, while categories such as Switzerland, Sweden, Japan, and Netherlands post the lowest average rem</w:t>
      </w:r>
      <w:r>
        <w:rPr>
          <w:color w:val="222222"/>
          <w:sz w:val="22"/>
          <w:szCs w:val="22"/>
        </w:rPr>
        <w:t>ittances, closer to the "Others" tail (0.67).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848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8489B" w:rsidRDefault="003801F4">
            <w:r>
              <w:rPr>
                <w:b/>
                <w:bCs/>
                <w:color w:val="FFFFFF"/>
              </w:rPr>
              <w:t>Country / Category</w:t>
            </w:r>
          </w:p>
        </w:tc>
        <w:tc>
          <w:tcPr>
            <w:tcW w:w="4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8489B" w:rsidRDefault="003801F4">
            <w:r>
              <w:rPr>
                <w:b/>
                <w:bCs/>
                <w:color w:val="FFFFFF"/>
              </w:rPr>
              <w:t>Average Remittance</w:t>
            </w:r>
          </w:p>
        </w:tc>
      </w:tr>
      <w:tr w:rsidR="0018489B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Cash Flow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716.22</w:t>
            </w:r>
          </w:p>
        </w:tc>
      </w:tr>
      <w:tr w:rsidR="0018489B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lastRenderedPageBreak/>
              <w:t>Dubai</w:t>
            </w:r>
          </w:p>
        </w:tc>
        <w:tc>
          <w:tcPr>
            <w:tcW w:w="4500" w:type="dxa"/>
            <w:shd w:val="clear" w:color="auto" w:fill="F2F5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96.92</w:t>
            </w:r>
          </w:p>
        </w:tc>
      </w:tr>
      <w:tr w:rsidR="0018489B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GCC Countries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84.50</w:t>
            </w:r>
          </w:p>
        </w:tc>
      </w:tr>
      <w:tr w:rsidR="0018489B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Saudi Arabia</w:t>
            </w:r>
          </w:p>
        </w:tc>
        <w:tc>
          <w:tcPr>
            <w:tcW w:w="4500" w:type="dxa"/>
            <w:shd w:val="clear" w:color="auto" w:fill="F2F5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190.81</w:t>
            </w:r>
          </w:p>
        </w:tc>
      </w:tr>
      <w:tr w:rsidR="0018489B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UAE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141.53</w:t>
            </w:r>
          </w:p>
        </w:tc>
      </w:tr>
      <w:tr w:rsidR="0018489B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UK</w:t>
            </w:r>
          </w:p>
        </w:tc>
        <w:tc>
          <w:tcPr>
            <w:tcW w:w="4500" w:type="dxa"/>
            <w:shd w:val="clear" w:color="auto" w:fill="F2F5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92.50</w:t>
            </w:r>
          </w:p>
        </w:tc>
      </w:tr>
      <w:tr w:rsidR="0018489B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USA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92.72</w:t>
            </w:r>
          </w:p>
        </w:tc>
      </w:tr>
      <w:tr w:rsidR="0018489B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Total</w:t>
            </w:r>
          </w:p>
        </w:tc>
        <w:tc>
          <w:tcPr>
            <w:tcW w:w="4500" w:type="dxa"/>
            <w:shd w:val="clear" w:color="auto" w:fill="F2F5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8489B" w:rsidRDefault="003801F4">
            <w:r>
              <w:rPr>
                <w:color w:val="222222"/>
              </w:rPr>
              <w:t>202.17</w:t>
            </w:r>
          </w:p>
        </w:tc>
      </w:tr>
    </w:tbl>
    <w:p w:rsidR="0018489B" w:rsidRDefault="0018489B">
      <w:pPr>
        <w:spacing w:after="200"/>
      </w:pPr>
    </w:p>
    <w:p w:rsidR="0018489B" w:rsidRDefault="003801F4">
      <w:pPr>
        <w:pStyle w:val="Heading2"/>
        <w:spacing w:before="240" w:after="120"/>
      </w:pPr>
      <w:r>
        <w:rPr>
          <w:b/>
          <w:bCs/>
          <w:color w:val="1E2761"/>
          <w:sz w:val="24"/>
          <w:szCs w:val="24"/>
        </w:rPr>
        <w:t>6.2 Seasonal Pattern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>Remittance inflows are not evenly spread across the year. March, June, May, and April consistently receive above-average remittance — a pattern likely tied to religious and cultural events (e.g., Ramadan/</w:t>
      </w:r>
      <w:proofErr w:type="spellStart"/>
      <w:r>
        <w:rPr>
          <w:color w:val="222222"/>
          <w:sz w:val="22"/>
          <w:szCs w:val="22"/>
        </w:rPr>
        <w:t>Eid</w:t>
      </w:r>
      <w:proofErr w:type="spellEnd"/>
      <w:r>
        <w:rPr>
          <w:color w:val="222222"/>
          <w:sz w:val="22"/>
          <w:szCs w:val="22"/>
        </w:rPr>
        <w:t xml:space="preserve"> timing) when overseas workers send extra money h</w:t>
      </w:r>
      <w:r>
        <w:rPr>
          <w:color w:val="222222"/>
          <w:sz w:val="22"/>
          <w:szCs w:val="22"/>
        </w:rPr>
        <w:t>ome.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>Both the monthly USD-sum trend and the monthly average-remittance trend peak around March and taper off toward the end of the fiscal year (Jan–Feb), sliding from roughly 103K down to about 88K in the sum-of-remittance view, and from 56 down to about 4</w:t>
      </w:r>
      <w:r>
        <w:rPr>
          <w:color w:val="222222"/>
          <w:sz w:val="22"/>
          <w:szCs w:val="22"/>
        </w:rPr>
        <w:t>8 in the average-remittance view.</w:t>
      </w:r>
    </w:p>
    <w:p w:rsidR="0018489B" w:rsidRDefault="003801F4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7. Tools &amp; Skills Applied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Power BI — data modelling, DAX measures, interactive slicers, and dashboard layout.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Data source integration — official SBP government dataset (55 years of records).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KPI design — card visuals, rank</w:t>
      </w:r>
      <w:r>
        <w:rPr>
          <w:color w:val="222222"/>
          <w:sz w:val="22"/>
          <w:szCs w:val="22"/>
        </w:rPr>
        <w:t>ed tables, bar charts, and trend lines.</w:t>
      </w:r>
    </w:p>
    <w:p w:rsidR="0018489B" w:rsidRDefault="003801F4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Data storytelling — organizing visuals to answer "who," "when," and "how much" at a glance.</w:t>
      </w:r>
    </w:p>
    <w:p w:rsidR="0018489B" w:rsidRDefault="003801F4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8. Conclusion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>This dashboard demonstrates the ability to turn a large, multi-decade government dataset into a clear, interactive analytical tool. It highlights strong Power BI fundamentals — slicers, KPI cards, ranked visuals, and trend analysis — and surfaces genuine b</w:t>
      </w:r>
      <w:r>
        <w:rPr>
          <w:color w:val="222222"/>
          <w:sz w:val="22"/>
          <w:szCs w:val="22"/>
        </w:rPr>
        <w:t>usiness insight: remittance is heavily concentrated in a few corridors (Cash Flow, Saudi Arabia, UAE) and shows a clear seasonal peak around March–June.</w:t>
      </w:r>
    </w:p>
    <w:p w:rsidR="0018489B" w:rsidRDefault="003801F4">
      <w:pPr>
        <w:spacing w:after="160" w:line="300" w:lineRule="auto"/>
      </w:pPr>
      <w:r>
        <w:rPr>
          <w:color w:val="222222"/>
          <w:sz w:val="22"/>
          <w:szCs w:val="22"/>
        </w:rPr>
        <w:t>As a next step, this project could be extended with year-over-year growth measures, currency-adjusted (</w:t>
      </w:r>
      <w:r>
        <w:rPr>
          <w:color w:val="222222"/>
          <w:sz w:val="22"/>
          <w:szCs w:val="22"/>
        </w:rPr>
        <w:t>real) remittance trends, and forecasting for future fiscal years.</w:t>
      </w:r>
    </w:p>
    <w:sectPr w:rsidR="0018489B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1F4" w:rsidRDefault="003801F4">
      <w:r>
        <w:separator/>
      </w:r>
    </w:p>
  </w:endnote>
  <w:endnote w:type="continuationSeparator" w:id="0">
    <w:p w:rsidR="003801F4" w:rsidRDefault="00380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89B" w:rsidRDefault="003801F4"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 w:rsidR="001E06AF">
      <w:rPr>
        <w:color w:val="555555"/>
        <w:sz w:val="16"/>
        <w:szCs w:val="16"/>
      </w:rPr>
      <w:fldChar w:fldCharType="separate"/>
    </w:r>
    <w:r w:rsidR="003712AD">
      <w:rPr>
        <w:noProof/>
        <w:color w:val="555555"/>
        <w:sz w:val="16"/>
        <w:szCs w:val="16"/>
      </w:rPr>
      <w:t>3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1F4" w:rsidRDefault="003801F4">
      <w:r>
        <w:separator/>
      </w:r>
    </w:p>
  </w:footnote>
  <w:footnote w:type="continuationSeparator" w:id="0">
    <w:p w:rsidR="003801F4" w:rsidRDefault="00380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89B" w:rsidRDefault="003801F4">
    <w:pPr>
      <w:jc w:val="right"/>
    </w:pPr>
    <w:r>
      <w:rPr>
        <w:color w:val="555555"/>
        <w:sz w:val="16"/>
        <w:szCs w:val="16"/>
      </w:rPr>
      <w:t>Country-Wise Worker Remittance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E34EE"/>
    <w:multiLevelType w:val="hybridMultilevel"/>
    <w:tmpl w:val="A01E1ED8"/>
    <w:lvl w:ilvl="0" w:tplc="A70E3DA6">
      <w:start w:val="1"/>
      <w:numFmt w:val="bullet"/>
      <w:lvlText w:val="●"/>
      <w:lvlJc w:val="left"/>
      <w:pPr>
        <w:ind w:left="720" w:hanging="360"/>
      </w:pPr>
    </w:lvl>
    <w:lvl w:ilvl="1" w:tplc="7B1451C0">
      <w:start w:val="1"/>
      <w:numFmt w:val="bullet"/>
      <w:lvlText w:val="○"/>
      <w:lvlJc w:val="left"/>
      <w:pPr>
        <w:ind w:left="1440" w:hanging="360"/>
      </w:pPr>
    </w:lvl>
    <w:lvl w:ilvl="2" w:tplc="C8BC8A8C">
      <w:start w:val="1"/>
      <w:numFmt w:val="bullet"/>
      <w:lvlText w:val="■"/>
      <w:lvlJc w:val="left"/>
      <w:pPr>
        <w:ind w:left="2160" w:hanging="360"/>
      </w:pPr>
    </w:lvl>
    <w:lvl w:ilvl="3" w:tplc="80301EB8">
      <w:start w:val="1"/>
      <w:numFmt w:val="bullet"/>
      <w:lvlText w:val="●"/>
      <w:lvlJc w:val="left"/>
      <w:pPr>
        <w:ind w:left="2880" w:hanging="360"/>
      </w:pPr>
    </w:lvl>
    <w:lvl w:ilvl="4" w:tplc="C89CC19C">
      <w:start w:val="1"/>
      <w:numFmt w:val="bullet"/>
      <w:lvlText w:val="○"/>
      <w:lvlJc w:val="left"/>
      <w:pPr>
        <w:ind w:left="3600" w:hanging="360"/>
      </w:pPr>
    </w:lvl>
    <w:lvl w:ilvl="5" w:tplc="15966824">
      <w:start w:val="1"/>
      <w:numFmt w:val="bullet"/>
      <w:lvlText w:val="■"/>
      <w:lvlJc w:val="left"/>
      <w:pPr>
        <w:ind w:left="4320" w:hanging="360"/>
      </w:pPr>
    </w:lvl>
    <w:lvl w:ilvl="6" w:tplc="A7C81128">
      <w:start w:val="1"/>
      <w:numFmt w:val="bullet"/>
      <w:lvlText w:val="●"/>
      <w:lvlJc w:val="left"/>
      <w:pPr>
        <w:ind w:left="5040" w:hanging="360"/>
      </w:pPr>
    </w:lvl>
    <w:lvl w:ilvl="7" w:tplc="80743F80">
      <w:start w:val="1"/>
      <w:numFmt w:val="bullet"/>
      <w:lvlText w:val="●"/>
      <w:lvlJc w:val="left"/>
      <w:pPr>
        <w:ind w:left="5760" w:hanging="360"/>
      </w:pPr>
    </w:lvl>
    <w:lvl w:ilvl="8" w:tplc="687269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7A0B32"/>
    <w:multiLevelType w:val="hybridMultilevel"/>
    <w:tmpl w:val="6AACD104"/>
    <w:lvl w:ilvl="0" w:tplc="2CD2E2D4">
      <w:start w:val="1"/>
      <w:numFmt w:val="bullet"/>
      <w:lvlText w:val="•"/>
      <w:lvlJc w:val="left"/>
      <w:pPr>
        <w:ind w:left="360" w:hanging="260"/>
      </w:pPr>
    </w:lvl>
    <w:lvl w:ilvl="1" w:tplc="8B4C516A">
      <w:numFmt w:val="decimal"/>
      <w:lvlText w:val=""/>
      <w:lvlJc w:val="left"/>
    </w:lvl>
    <w:lvl w:ilvl="2" w:tplc="BBCC0D1E">
      <w:numFmt w:val="decimal"/>
      <w:lvlText w:val=""/>
      <w:lvlJc w:val="left"/>
    </w:lvl>
    <w:lvl w:ilvl="3" w:tplc="AB821808">
      <w:numFmt w:val="decimal"/>
      <w:lvlText w:val=""/>
      <w:lvlJc w:val="left"/>
    </w:lvl>
    <w:lvl w:ilvl="4" w:tplc="5016D4BC">
      <w:numFmt w:val="decimal"/>
      <w:lvlText w:val=""/>
      <w:lvlJc w:val="left"/>
    </w:lvl>
    <w:lvl w:ilvl="5" w:tplc="D1183FF8">
      <w:numFmt w:val="decimal"/>
      <w:lvlText w:val=""/>
      <w:lvlJc w:val="left"/>
    </w:lvl>
    <w:lvl w:ilvl="6" w:tplc="70FE5F9C">
      <w:numFmt w:val="decimal"/>
      <w:lvlText w:val=""/>
      <w:lvlJc w:val="left"/>
    </w:lvl>
    <w:lvl w:ilvl="7" w:tplc="6D14348C">
      <w:numFmt w:val="decimal"/>
      <w:lvlText w:val=""/>
      <w:lvlJc w:val="left"/>
    </w:lvl>
    <w:lvl w:ilvl="8" w:tplc="33BC3F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89B"/>
    <w:rsid w:val="0018489B"/>
    <w:rsid w:val="001E06AF"/>
    <w:rsid w:val="003712AD"/>
    <w:rsid w:val="0038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DE7233-3F9D-4AAD-BED9-696072B7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usman</cp:lastModifiedBy>
  <cp:revision>2</cp:revision>
  <dcterms:created xsi:type="dcterms:W3CDTF">2026-08-09T12:31:00Z</dcterms:created>
  <dcterms:modified xsi:type="dcterms:W3CDTF">2026-08-09T12:31:00Z</dcterms:modified>
</cp:coreProperties>
</file>