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F3A5F"/>
          <w:sz w:val="42"/>
        </w:rPr>
        <w:t>MUHAMMAD USMAN AHMAD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1A1A1A"/>
          <w:sz w:val="24"/>
        </w:rPr>
        <w:t>5G SA RAN Validation Engineer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555555"/>
          <w:sz w:val="19"/>
        </w:rPr>
        <w:t xml:space="preserve">Sammamish, WA 98075   –   +1-425-800-7091   –   </w:t>
      </w:r>
      <w:hyperlink r:id="rId9">
        <w:r>
          <w:rPr>
            <w:color w:val="1D4ED8"/>
            <w:u w:val="single"/>
            <w:sz w:val="19"/>
            <w:rFonts w:ascii="Calibri" w:hAnsi="Calibri"/>
          </w:rPr>
          <w:t xml:space="preserve">muhammadusmanahmad10@gmail.com</w:t>
        </w:r>
      </w:hyperlink>
    </w:p>
    <w:p>
      <w:pPr>
        <w:spacing w:after="40"/>
        <w:jc w:val="center"/>
      </w:pPr>
      <w:hyperlink r:id="rId10">
        <w:r>
          <w:rPr>
            <w:color w:val="1D4ED8"/>
            <w:u w:val="single"/>
            <w:sz w:val="19"/>
            <w:rFonts w:ascii="Calibri" w:hAnsi="Calibri"/>
          </w:rPr>
          <w:t xml:space="preserve">LinkedIn</w:t>
        </w:r>
      </w:hyperlink>
      <w:r>
        <w:rPr>
          <w:rFonts w:ascii="Calibri" w:hAnsi="Calibri"/>
          <w:b w:val="0"/>
          <w:i w:val="0"/>
          <w:color w:val="555555"/>
          <w:sz w:val="19"/>
        </w:rPr>
        <w:t xml:space="preserve">        –        </w:t>
      </w:r>
      <w:hyperlink r:id="rId11">
        <w:r>
          <w:rPr>
            <w:color w:val="1D4ED8"/>
            <w:u w:val="single"/>
            <w:b/>
            <w:sz w:val="19"/>
            <w:rFonts w:ascii="Calibri" w:hAnsi="Calibri"/>
          </w:rPr>
          <w:t xml:space="preserve">Technical Portfolio (verifiable proof of work)</w:t>
        </w:r>
      </w:hyperlink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i w:val="0"/>
          <w:color w:val="1F3A5F"/>
          <w:sz w:val="21"/>
        </w:rPr>
        <w:t>PROFESSIONAL SUMMARY</w:t>
      </w:r>
    </w:p>
    <w:p>
      <w:pPr>
        <w:spacing w:after="60" w:line="257" w:lineRule="auto"/>
      </w:pPr>
      <w:r>
        <w:rPr>
          <w:rFonts w:ascii="Calibri" w:hAnsi="Calibri"/>
          <w:b w:val="0"/>
          <w:i w:val="0"/>
          <w:color w:val="1A1A1A"/>
          <w:sz w:val="19"/>
        </w:rPr>
        <w:t xml:space="preserve">5G SA RAN Validation Engineer with </w:t>
      </w:r>
      <w:r>
        <w:rPr>
          <w:rFonts w:ascii="Calibri" w:hAnsi="Calibri"/>
          <w:b/>
          <w:i w:val="0"/>
          <w:color w:val="1A1A1A"/>
          <w:sz w:val="19"/>
        </w:rPr>
        <w:t>7+ years across the full network lifecycle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from Huawei multi-RAT design, integration and optimization of </w:t>
      </w:r>
      <w:r>
        <w:rPr>
          <w:rFonts w:ascii="Calibri" w:hAnsi="Calibri"/>
          <w:b/>
          <w:i w:val="0"/>
          <w:color w:val="1A1A1A"/>
          <w:sz w:val="19"/>
        </w:rPr>
        <w:t>10,000+ commercial sites</w:t>
      </w:r>
      <w:r>
        <w:rPr>
          <w:rFonts w:ascii="Calibri" w:hAnsi="Calibri"/>
          <w:b w:val="0"/>
          <w:i w:val="0"/>
          <w:color w:val="1A1A1A"/>
          <w:sz w:val="19"/>
        </w:rPr>
        <w:t xml:space="preserve"> (2G–5G) to leading 5G SA Femto lab validation and owning a new product from kickoff to </w:t>
      </w:r>
      <w:r>
        <w:rPr>
          <w:rFonts w:ascii="Calibri" w:hAnsi="Calibri"/>
          <w:b/>
          <w:i w:val="0"/>
          <w:color w:val="1A1A1A"/>
          <w:sz w:val="19"/>
        </w:rPr>
        <w:t>General Availability</w:t>
      </w:r>
      <w:r>
        <w:rPr>
          <w:rFonts w:ascii="Calibri" w:hAnsi="Calibri"/>
          <w:b w:val="0"/>
          <w:i w:val="0"/>
          <w:color w:val="1A1A1A"/>
          <w:sz w:val="19"/>
        </w:rPr>
        <w:t xml:space="preserve">. I validate 5G SA mobility, QoS/slicing, voice and emergency services to 3GPP and operator standards, root-cause failures at packet level, </w:t>
      </w:r>
      <w:r>
        <w:rPr>
          <w:rFonts w:ascii="Calibri" w:hAnsi="Calibri"/>
          <w:b/>
          <w:i w:val="0"/>
          <w:color w:val="1A1A1A"/>
          <w:sz w:val="19"/>
        </w:rPr>
        <w:t>automate signalling validation in Python/tshark</w:t>
      </w:r>
      <w:r>
        <w:rPr>
          <w:rFonts w:ascii="Calibri" w:hAnsi="Calibri"/>
          <w:b w:val="0"/>
          <w:i w:val="0"/>
          <w:color w:val="1A1A1A"/>
          <w:sz w:val="19"/>
        </w:rPr>
        <w:t>, and read the 3GPP spec to settle multi-vendor interoperability disputes. Every claim below links to a technical write-up that proves it.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i w:val="0"/>
          <w:color w:val="1F3A5F"/>
          <w:sz w:val="21"/>
        </w:rPr>
        <w:t>TECHNICAL SKILLS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F3A5F"/>
          <w:sz w:val="19"/>
        </w:rPr>
        <w:t xml:space="preserve">5G SA Validation:  </w:t>
      </w:r>
      <w:r>
        <w:rPr>
          <w:rFonts w:ascii="Calibri" w:hAnsi="Calibri"/>
          <w:b w:val="0"/>
          <w:i w:val="0"/>
          <w:color w:val="1A1A1A"/>
          <w:sz w:val="19"/>
        </w:rPr>
        <w:t>ZTP auto-provisioning – Xn/NG &amp; IRAT handover – WPS &amp; network slicing (5QI/ARP/GBR/MBR, PCI/PVI pre-emption) – VoNR/ViNR/RTT/SMS – E911 (NR-ECID, Z-axis) &amp; CMAS/WEA – load &amp; stress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F3A5F"/>
          <w:sz w:val="19"/>
        </w:rPr>
        <w:t xml:space="preserve">Protocols &amp; Layers:  </w:t>
      </w:r>
      <w:r>
        <w:rPr>
          <w:rFonts w:ascii="Calibri" w:hAnsi="Calibri"/>
          <w:b w:val="0"/>
          <w:i w:val="0"/>
          <w:color w:val="1A1A1A"/>
          <w:sz w:val="19"/>
        </w:rPr>
        <w:t>NAS – NGAP – XnAP – RRC – SIP – SCTP – IPsec/IKEv2 – PHY/MAC/RLC/PDCP – HARQ/ARQ – Wireshark/tshark, XCAL5 analysis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F3A5F"/>
          <w:sz w:val="19"/>
        </w:rPr>
        <w:t xml:space="preserve">RAN Deployment:  </w:t>
      </w:r>
      <w:r>
        <w:rPr>
          <w:rFonts w:ascii="Calibri" w:hAnsi="Calibri"/>
          <w:b w:val="0"/>
          <w:i w:val="0"/>
          <w:color w:val="1A1A1A"/>
          <w:sz w:val="19"/>
        </w:rPr>
        <w:t>2G–5G integration &amp; scripting (SDR/NSDR, BBU merging, SRAN, sector-carrier expansion) – Massive MIMO/AAU/BFANT – CA – RedCap – MORAN/MOCN – RF optimization – refarming/coexistence (L700–N77) – Open RAN (O-RAN)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F3A5F"/>
          <w:sz w:val="19"/>
        </w:rPr>
        <w:t xml:space="preserve">Tools:  </w:t>
      </w:r>
      <w:r>
        <w:rPr>
          <w:rFonts w:ascii="Calibri" w:hAnsi="Calibri"/>
          <w:b w:val="0"/>
          <w:i w:val="0"/>
          <w:color w:val="1A1A1A"/>
          <w:sz w:val="19"/>
        </w:rPr>
        <w:t>Python – Wireshark/tshark – XCAL5 – TM500 – IXIA – iPerf/Ookla – CME – LMT – NMS – JIRA   (familiar: Spirent, Keysight)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i w:val="0"/>
          <w:color w:val="1F3A5F"/>
          <w:sz w:val="21"/>
        </w:rPr>
        <w:t>PROFESSIONAL EXPERIENCE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i w:val="0"/>
          <w:color w:val="1A1A1A"/>
          <w:sz w:val="20"/>
        </w:rPr>
        <w:t>RAN Lab Validation Engineer</w:t>
      </w:r>
      <w:r>
        <w:rPr>
          <w:rFonts w:ascii="Calibri" w:hAnsi="Calibri"/>
          <w:b w:val="0"/>
          <w:i w:val="0"/>
          <w:color w:val="555555"/>
          <w:sz w:val="18"/>
        </w:rPr>
        <w:tab/>
        <w:t>Sept 2025 – Present</w:t>
      </w:r>
    </w:p>
    <w:p>
      <w:pPr>
        <w:spacing w:after="60"/>
      </w:pPr>
      <w:r>
        <w:rPr>
          <w:rFonts w:ascii="Calibri" w:hAnsi="Calibri"/>
          <w:b w:val="0"/>
          <w:i/>
          <w:color w:val="1F3A5F"/>
          <w:sz w:val="18"/>
        </w:rPr>
        <w:t>T-Mobile (5G SA Femto Program) — Bellevue, WA</w:t>
      </w:r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Program ownership (kickoff → GA): </w:t>
      </w:r>
      <w:r>
        <w:rPr>
          <w:rFonts w:ascii="Calibri" w:hAnsi="Calibri"/>
          <w:b w:val="0"/>
          <w:i w:val="0"/>
          <w:color w:val="1A1A1A"/>
          <w:sz w:val="19"/>
        </w:rPr>
        <w:t>Drove the 5G SA Femto from program start through General Availability — coordinating vendor validation engineers, verifying results, clearing cross-team blockers, and leading the beta / conditional-GA lab exit (P0 cases, fix validation, GA readiness).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12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5G SA Femto validation (Band n41): </w:t>
      </w:r>
      <w:r>
        <w:rPr>
          <w:rFonts w:ascii="Calibri" w:hAnsi="Calibri"/>
          <w:b w:val="0"/>
          <w:i w:val="0"/>
          <w:color w:val="1A1A1A"/>
          <w:sz w:val="19"/>
        </w:rPr>
        <w:t xml:space="preserve">Lead end-to-end validation across </w:t>
      </w:r>
      <w:r>
        <w:rPr>
          <w:rFonts w:ascii="Calibri" w:hAnsi="Calibri"/>
          <w:b/>
          <w:i w:val="0"/>
          <w:color w:val="1A1A1A"/>
          <w:sz w:val="19"/>
        </w:rPr>
        <w:t>200+ test cases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ZTP, attach/registration, PDU sessions, mobility, QoS, voice and emergency services — per 3GPP RAN2/RAN3/RAN4 and operator standards.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13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Xn / NG / IRAT handover: </w:t>
      </w:r>
      <w:r>
        <w:rPr>
          <w:rFonts w:ascii="Calibri" w:hAnsi="Calibri"/>
          <w:b w:val="0"/>
          <w:i w:val="0"/>
          <w:color w:val="1A1A1A"/>
          <w:sz w:val="19"/>
        </w:rPr>
        <w:t>Validated and troubleshot Intra-NR and Inter-RAT mobility over Xn and NG; resolved an Xn-down fault from an SCTP source-port mismatch and an SRB-IE 3GPP-compliance dispute via spec analysis.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14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WPS &amp; network slicing: </w:t>
      </w:r>
      <w:r>
        <w:rPr>
          <w:rFonts w:ascii="Calibri" w:hAnsi="Calibri"/>
          <w:b w:val="0"/>
          <w:i w:val="0"/>
          <w:color w:val="1A1A1A"/>
          <w:sz w:val="19"/>
        </w:rPr>
        <w:t>Validated 5QI/ARP/GBR/MBR enforcement, slice isolation (7000/7001) and pre-emption under congestion — including a PCI/PVI fix that stopped in-progress 911 calls from being dropped.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15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Voice &amp; IMS: </w:t>
      </w:r>
      <w:r>
        <w:rPr>
          <w:rFonts w:ascii="Calibri" w:hAnsi="Calibri"/>
          <w:b w:val="0"/>
          <w:i w:val="0"/>
          <w:color w:val="1A1A1A"/>
          <w:sz w:val="19"/>
        </w:rPr>
        <w:t>Validated VoNR/ViNR, RTT, SMS-over-IMS, supplementary and multi-party services, and IRAT voice continuity (VoNR–VoLTE), with knowledge of EPS Fallback and SRVCC fallbacks.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16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E911 &amp; CMAS/WEA: </w:t>
      </w:r>
      <w:r>
        <w:rPr>
          <w:rFonts w:ascii="Calibri" w:hAnsi="Calibri"/>
          <w:b w:val="0"/>
          <w:i w:val="0"/>
          <w:color w:val="1A1A1A"/>
          <w:sz w:val="19"/>
        </w:rPr>
        <w:t>Verified NR-ECID/GNSS/DBH location with Z-axis accuracy per FCC/3GPP; root-caused ECID–CID fallback to an LMF uncertainty threshold; removed a single-LMF dependency; validated CMAS delivery.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17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Python / tshark automation: </w:t>
      </w:r>
      <w:r>
        <w:rPr>
          <w:rFonts w:ascii="Calibri" w:hAnsi="Calibri"/>
          <w:b w:val="0"/>
          <w:i w:val="0"/>
          <w:color w:val="1A1A1A"/>
          <w:sz w:val="19"/>
        </w:rPr>
        <w:t>Built four signalling validators (registration/PDU, NG HO, Xn HO, WPS-user) turning manual PCAP review into standardized PASS/FAIL with CSV evidence; authored a full NGAP/NAS lifecycle reference guide.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18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Load, stress &amp; KPIs: </w:t>
      </w:r>
      <w:r>
        <w:rPr>
          <w:rFonts w:ascii="Calibri" w:hAnsi="Calibri"/>
          <w:b w:val="0"/>
          <w:i w:val="0"/>
          <w:color w:val="1A1A1A"/>
          <w:sz w:val="19"/>
        </w:rPr>
        <w:t>Drove multi-UE load/stress with TM500 and IXIA backhaul policing; analysed RRC, UE-context, QoS-establishment and PRB/CPU KPIs; surfaced scheduler-fairness and measurement-tool issues.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19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i w:val="0"/>
          <w:color w:val="1A1A1A"/>
          <w:sz w:val="20"/>
        </w:rPr>
        <w:t>Wireless RAN Engineer</w:t>
      </w:r>
      <w:r>
        <w:rPr>
          <w:rFonts w:ascii="Calibri" w:hAnsi="Calibri"/>
          <w:b w:val="0"/>
          <w:i w:val="0"/>
          <w:color w:val="555555"/>
          <w:sz w:val="18"/>
        </w:rPr>
        <w:tab/>
        <w:t>Dec 2018 – July 2025</w:t>
      </w:r>
    </w:p>
    <w:p>
      <w:pPr>
        <w:spacing w:after="60"/>
      </w:pPr>
      <w:r>
        <w:rPr>
          <w:rFonts w:ascii="Calibri" w:hAnsi="Calibri"/>
          <w:b w:val="0"/>
          <w:i/>
          <w:color w:val="1F3A5F"/>
          <w:sz w:val="18"/>
        </w:rPr>
        <w:t>ASK – TurnoTech – NETKOM – PEOPLE (Huawei / STC programs) — Islamabad, Pakistan</w:t>
      </w:r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Multi-RAT integration &amp; scripting: </w:t>
      </w:r>
      <w:r>
        <w:rPr>
          <w:rFonts w:ascii="Calibri" w:hAnsi="Calibri"/>
          <w:b w:val="0"/>
          <w:i w:val="0"/>
          <w:color w:val="1A1A1A"/>
          <w:sz w:val="19"/>
        </w:rPr>
        <w:t xml:space="preserve">Integrated and commissioned 2G–5G + NB-IoT across </w:t>
      </w:r>
      <w:r>
        <w:rPr>
          <w:rFonts w:ascii="Calibri" w:hAnsi="Calibri"/>
          <w:b/>
          <w:i w:val="0"/>
          <w:color w:val="1A1A1A"/>
          <w:sz w:val="19"/>
        </w:rPr>
        <w:t>10,000+ sites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SDR/NSDR, BBU merging, SRAN conversion, sector-carrier expansion, 4T6S/Multi-RRU, MORAN/MOCN — via CME, LMT and CLI.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0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RF optimization &amp; KPI tuning: </w:t>
      </w:r>
      <w:r>
        <w:rPr>
          <w:rFonts w:ascii="Calibri" w:hAnsi="Calibri"/>
          <w:b w:val="0"/>
          <w:i w:val="0"/>
          <w:color w:val="1A1A1A"/>
          <w:sz w:val="19"/>
        </w:rPr>
        <w:t>Tuned coverage, capacity and mobility (tilt/azimuth/power, load balancing, CA, handover parameters); ran audit-driven corrections and KPI monitoring to lift performance and cut call drops.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1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Spectrum refarming &amp; coexistence: </w:t>
      </w:r>
      <w:r>
        <w:rPr>
          <w:rFonts w:ascii="Calibri" w:hAnsi="Calibri"/>
          <w:b w:val="0"/>
          <w:i w:val="0"/>
          <w:color w:val="1A1A1A"/>
          <w:sz w:val="19"/>
        </w:rPr>
        <w:t>Delivered 4G/5G refarming (incl. L900/L900Cr2) and coexistence validation across L700–N77, optimizing link budgets in high-density clusters.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2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Massive MIMO &amp; advanced radio: </w:t>
      </w:r>
      <w:r>
        <w:rPr>
          <w:rFonts w:ascii="Calibri" w:hAnsi="Calibri"/>
          <w:b w:val="0"/>
          <w:i w:val="0"/>
          <w:color w:val="1A1A1A"/>
          <w:sz w:val="19"/>
        </w:rPr>
        <w:t>Deployed Massive MIMO, RedCap, NR UL/DL decoupling and 5G SA/NSA hybrid sites; built indoor &amp; shared systems (LampSite / LampSite Pro / movable LampSite, DAS / DAS Pro with DCU/HRRU, multi-operator sharing) and rural RRU-relay + Yagi backhaul.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3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Published troubleshooting case studies: </w:t>
      </w:r>
      <w:r>
        <w:rPr>
          <w:rFonts w:ascii="Calibri" w:hAnsi="Calibri"/>
          <w:b w:val="0"/>
          <w:i w:val="0"/>
          <w:color w:val="1A1A1A"/>
          <w:sz w:val="19"/>
        </w:rPr>
        <w:t xml:space="preserve">Diagnosed and documented </w:t>
      </w:r>
      <w:r>
        <w:rPr>
          <w:rFonts w:ascii="Calibri" w:hAnsi="Calibri"/>
          <w:b/>
          <w:i w:val="0"/>
          <w:color w:val="1A1A1A"/>
          <w:sz w:val="19"/>
        </w:rPr>
        <w:t>17+ real field faults</w:t>
      </w:r>
      <w:r>
        <w:rPr>
          <w:rFonts w:ascii="Calibri" w:hAnsi="Calibri"/>
          <w:b w:val="0"/>
          <w:i w:val="0"/>
          <w:color w:val="1A1A1A"/>
          <w:sz w:val="19"/>
        </w:rPr>
        <w:t xml:space="preserve"> on the OEM engineering case portal for reuse across the engineering community.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4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End-to-end delivery &amp; commercials: </w:t>
      </w:r>
      <w:r>
        <w:rPr>
          <w:rFonts w:ascii="Calibri" w:hAnsi="Calibri"/>
          <w:b w:val="0"/>
          <w:i w:val="0"/>
          <w:color w:val="1A1A1A"/>
          <w:sz w:val="19"/>
        </w:rPr>
        <w:t>Owned the site lifecycle — LLD/FDED, BOQ/SOW, material listing, integration, drive test, PAT and MTAC/MNOC/OPT acceptance, as-built — plus GAP1/2/3 financial tracking and dashboards presented to management.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12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i w:val="0"/>
          <w:color w:val="1F3A5F"/>
          <w:sz w:val="21"/>
        </w:rPr>
        <w:t>TECHNICAL KNOWLEDGE (DEPTH BEYOND HANDS-ON DELIVERY)</w:t>
      </w:r>
    </w:p>
    <w:p>
      <w:pPr>
        <w:spacing w:after="60" w:line="252" w:lineRule="auto"/>
      </w:pPr>
      <w:r>
        <w:rPr>
          <w:rFonts w:ascii="Calibri" w:hAnsi="Calibri"/>
          <w:b w:val="0"/>
          <w:i/>
          <w:color w:val="555555"/>
          <w:sz w:val="17"/>
        </w:rPr>
        <w:t>Areas I know in depth and can speak to in detail; each links to a written explanation. (Listed separately from hands-on experience above.)</w:t>
      </w:r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F3A5F"/>
          <w:sz w:val="19"/>
        </w:rPr>
        <w:t xml:space="preserve">KPIs &amp; signalling messages: </w:t>
      </w:r>
      <w:r>
        <w:rPr>
          <w:rFonts w:ascii="Calibri" w:hAnsi="Calibri"/>
          <w:b w:val="0"/>
          <w:i w:val="0"/>
          <w:color w:val="1A1A1A"/>
          <w:sz w:val="19"/>
        </w:rPr>
        <w:t>the KPI + protocol-message fingerprint of each feature, correlating OAM counters with packet trace.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5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F3A5F"/>
          <w:sz w:val="19"/>
        </w:rPr>
        <w:t xml:space="preserve">Lab validation methodology: </w:t>
      </w:r>
      <w:r>
        <w:rPr>
          <w:rFonts w:ascii="Calibri" w:hAnsi="Calibri"/>
          <w:b w:val="0"/>
          <w:i w:val="0"/>
          <w:color w:val="1A1A1A"/>
          <w:sz w:val="19"/>
        </w:rPr>
        <w:t>3GPP conformance vs operator acceptance, UE-category selection, soak/stability, and the simulator toolchain.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6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F3A5F"/>
          <w:sz w:val="19"/>
        </w:rPr>
        <w:t xml:space="preserve">Policy &amp; QoS control: </w:t>
      </w:r>
      <w:r>
        <w:rPr>
          <w:rFonts w:ascii="Calibri" w:hAnsi="Calibri"/>
          <w:b w:val="0"/>
          <w:i w:val="0"/>
          <w:color w:val="1A1A1A"/>
          <w:sz w:val="19"/>
        </w:rPr>
        <w:t>how PCF (5G) / PCRF (LTE) decide 5QI/QCI, ARP, GBR/MBR and push QoS flows to the RAN (N7 / Gx).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7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F3A5F"/>
          <w:sz w:val="19"/>
        </w:rPr>
        <w:t xml:space="preserve">3GPP standards: </w:t>
      </w:r>
      <w:r>
        <w:rPr>
          <w:rFonts w:ascii="Calibri" w:hAnsi="Calibri"/>
          <w:b w:val="0"/>
          <w:i w:val="0"/>
          <w:color w:val="1A1A1A"/>
          <w:sz w:val="19"/>
        </w:rPr>
        <w:t>Releases 15–19 and RAN2/RAN3/RAN4 procedures across the TS 23/24/38 series.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8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F3A5F"/>
          <w:sz w:val="19"/>
        </w:rPr>
        <w:t xml:space="preserve">Non-Terrestrial Networks (NTN): </w:t>
      </w:r>
      <w:r>
        <w:rPr>
          <w:rFonts w:ascii="Calibri" w:hAnsi="Calibri"/>
          <w:b w:val="0"/>
          <w:i w:val="0"/>
          <w:color w:val="1A1A1A"/>
          <w:sz w:val="19"/>
        </w:rPr>
        <w:t>satellite backhaul, PFD limits, coexistence and Rel-17 NTN timing/Doppler concepts.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9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F3A5F"/>
          <w:sz w:val="19"/>
        </w:rPr>
        <w:t xml:space="preserve">Open RAN (O-RAN): </w:t>
      </w:r>
      <w:r>
        <w:rPr>
          <w:rFonts w:ascii="Calibri" w:hAnsi="Calibri"/>
          <w:b w:val="0"/>
          <w:i w:val="0"/>
          <w:color w:val="1A1A1A"/>
          <w:sz w:val="19"/>
        </w:rPr>
        <w:t>disaggregation (O-RU/O-DU/O-CU), Near-RT/Non-RT RIC and open interfaces (A1/E2/O1/O2, Open Fronthaul 7.2x).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30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F3A5F"/>
          <w:sz w:val="19"/>
        </w:rPr>
        <w:t xml:space="preserve">5G / telecom security: </w:t>
      </w:r>
      <w:r>
        <w:rPr>
          <w:rFonts w:ascii="Calibri" w:hAnsi="Calibri"/>
          <w:b w:val="0"/>
          <w:i w:val="0"/>
          <w:color w:val="1A1A1A"/>
          <w:sz w:val="19"/>
        </w:rPr>
        <w:t>IPsec/IKEv2 &amp; PKI/certificates (hands-on), plus TS 33.501 architecture, SUPI/SUCI, 5G-AKA and NAS/AS security.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31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i w:val="0"/>
          <w:color w:val="1F3A5F"/>
          <w:sz w:val="21"/>
        </w:rPr>
        <w:t>SELECTED PROGRAMS DELIVERED (HUAWEI / STC)</w:t>
      </w:r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5G SA / NSA Deployment, STC Phases 1–5 </w:t>
      </w:r>
      <w:r>
        <w:rPr>
          <w:rFonts w:ascii="Calibri" w:hAnsi="Calibri"/>
          <w:b/>
          <w:i w:val="0"/>
          <w:color w:val="1F3A5F"/>
          <w:sz w:val="19"/>
        </w:rPr>
        <w:t xml:space="preserve">(2,800+ sites): </w:t>
      </w:r>
      <w:r>
        <w:rPr>
          <w:rFonts w:ascii="Calibri" w:hAnsi="Calibri"/>
          <w:b w:val="0"/>
          <w:i w:val="0"/>
          <w:color w:val="1A1A1A"/>
          <w:sz w:val="19"/>
        </w:rPr>
        <w:t>Multi-band SA &amp; NSA (N28/N40/N77, L900), NR UL/DL decoupling, eXN, RedCap, small cells and BookBBU.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3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STC BCN </w:t>
      </w:r>
      <w:r>
        <w:rPr>
          <w:rFonts w:ascii="Calibri" w:hAnsi="Calibri"/>
          <w:b/>
          <w:i w:val="0"/>
          <w:color w:val="1F3A5F"/>
          <w:sz w:val="19"/>
        </w:rPr>
        <w:t xml:space="preserve">(5,000 sites): </w:t>
      </w:r>
      <w:r>
        <w:rPr>
          <w:rFonts w:ascii="Calibri" w:hAnsi="Calibri"/>
          <w:b w:val="0"/>
          <w:i w:val="0"/>
          <w:color w:val="1A1A1A"/>
          <w:sz w:val="19"/>
        </w:rPr>
        <w:t>Project management, scripting and integration of L900Cr2 sites at national scale.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0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STC Aspiration </w:t>
      </w:r>
      <w:r>
        <w:rPr>
          <w:rFonts w:ascii="Calibri" w:hAnsi="Calibri"/>
          <w:b/>
          <w:i w:val="0"/>
          <w:color w:val="1F3A5F"/>
          <w:sz w:val="19"/>
        </w:rPr>
        <w:t xml:space="preserve">(800 sites): </w:t>
      </w:r>
      <w:r>
        <w:rPr>
          <w:rFonts w:ascii="Calibri" w:hAnsi="Calibri"/>
          <w:b w:val="0"/>
          <w:i w:val="0"/>
          <w:color w:val="1A1A1A"/>
          <w:sz w:val="19"/>
        </w:rPr>
        <w:t>Multi-tech (2G/3G/4G) integration with Massive MIMO, SDR/NSDR, BBU merging and SRAN conversion.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0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STC Advanced IBS &amp; DAS, Urban Centres </w:t>
      </w:r>
      <w:r>
        <w:rPr>
          <w:rFonts w:ascii="Calibri" w:hAnsi="Calibri"/>
          <w:b/>
          <w:i w:val="0"/>
          <w:color w:val="1F3A5F"/>
          <w:sz w:val="19"/>
        </w:rPr>
        <w:t xml:space="preserve">($6M scope): </w:t>
      </w:r>
      <w:r>
        <w:rPr>
          <w:rFonts w:ascii="Calibri" w:hAnsi="Calibri"/>
          <w:b w:val="0"/>
          <w:i w:val="0"/>
          <w:color w:val="1A1A1A"/>
          <w:sz w:val="19"/>
        </w:rPr>
        <w:t>Multi-cell, multi-RAT indoor systems (LampSite Pro, DAS sharing) applying MORAN/MOCN.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3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pStyle w:val="ListBullet"/>
        <w:spacing w:after="50" w:line="252" w:lineRule="auto"/>
        <w:ind w:left="288" w:hanging="187"/>
      </w:pPr>
      <w:r>
        <w:rPr>
          <w:rFonts w:ascii="Calibri" w:hAnsi="Calibri"/>
          <w:b/>
          <w:i w:val="0"/>
          <w:color w:val="1A1A1A"/>
          <w:sz w:val="19"/>
        </w:rPr>
        <w:t xml:space="preserve">NEOM Smart-City Infrastructure </w:t>
      </w:r>
      <w:r>
        <w:rPr>
          <w:rFonts w:ascii="Calibri" w:hAnsi="Calibri"/>
          <w:b/>
          <w:i w:val="0"/>
          <w:color w:val="1F3A5F"/>
          <w:sz w:val="19"/>
        </w:rPr>
        <w:t xml:space="preserve">(150 sites): </w:t>
      </w:r>
      <w:r>
        <w:rPr>
          <w:rFonts w:ascii="Calibri" w:hAnsi="Calibri"/>
          <w:b w:val="0"/>
          <w:i w:val="0"/>
          <w:color w:val="1A1A1A"/>
          <w:sz w:val="19"/>
        </w:rPr>
        <w:t>5G and MORAN across mixed terrestrial and satellite-linked sites, supporting NTN feasibility studies.</w:t>
      </w:r>
      <w:r>
        <w:rPr>
          <w:rFonts w:ascii="Calibri" w:hAnsi="Calibri"/>
          <w:b w:val="0"/>
          <w:i w:val="0"/>
          <w:color w:val="1A1A1A"/>
          <w:sz w:val="19"/>
        </w:rPr>
        <w:t xml:space="preserve">   </w:t>
      </w:r>
      <w:hyperlink r:id="rId29">
        <w:r>
          <w:rPr>
            <w:color w:val="1D4ED8"/>
            <w:u w:val="single"/>
            <w:i/>
            <w:sz w:val="17"/>
            <w:rFonts w:ascii="Calibri" w:hAnsi="Calibri"/>
          </w:rPr>
          <w:t xml:space="preserve">Proof →</w:t>
        </w:r>
      </w:hyperlink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i w:val="0"/>
          <w:color w:val="1F3A5F"/>
          <w:sz w:val="21"/>
        </w:rPr>
        <w:t>EDUCATION</w:t>
      </w:r>
    </w:p>
    <w:p>
      <w:pPr>
        <w:tabs>
          <w:tab w:pos="10512" w:val="right"/>
        </w:tabs>
        <w:spacing w:after="0"/>
      </w:pPr>
      <w:r>
        <w:rPr>
          <w:rFonts w:ascii="Calibri" w:hAnsi="Calibri"/>
          <w:b/>
          <w:i w:val="0"/>
          <w:color w:val="1A1A1A"/>
          <w:sz w:val="20"/>
        </w:rPr>
        <w:t>B.Sc. Telecommunications Engineering</w:t>
      </w:r>
      <w:r>
        <w:rPr>
          <w:rFonts w:ascii="Calibri" w:hAnsi="Calibri"/>
          <w:b w:val="0"/>
          <w:i w:val="0"/>
          <w:color w:val="555555"/>
          <w:sz w:val="18"/>
        </w:rPr>
        <w:tab/>
        <w:t>Oct 2014 – July 2018</w:t>
      </w:r>
    </w:p>
    <w:p>
      <w:pPr>
        <w:spacing w:after="60"/>
      </w:pPr>
      <w:r>
        <w:rPr>
          <w:rFonts w:ascii="Calibri" w:hAnsi="Calibri"/>
          <w:b w:val="0"/>
          <w:i/>
          <w:color w:val="1F3A5F"/>
          <w:sz w:val="18"/>
        </w:rPr>
        <w:t>University of Engineering &amp; Technology (UET), Taxila — Pakistan</w:t>
      </w:r>
    </w:p>
    <w:p>
      <w:pPr>
        <w:spacing w:after="60" w:line="252" w:lineRule="auto"/>
      </w:pPr>
      <w:r>
        <w:rPr>
          <w:rFonts w:ascii="Calibri" w:hAnsi="Calibri"/>
          <w:b w:val="0"/>
          <w:i w:val="0"/>
          <w:color w:val="1A1A1A"/>
          <w:sz w:val="19"/>
        </w:rPr>
        <w:t>Coursework: RF &amp; antenna design, wireless &amp; mobile communications, digital communications, networks &amp; switching.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i w:val="0"/>
          <w:color w:val="1F3A5F"/>
          <w:sz w:val="21"/>
        </w:rPr>
        <w:t>CERTIFICATIONS &amp; LANGUAGES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F3A5F"/>
          <w:sz w:val="19"/>
        </w:rPr>
        <w:t xml:space="preserve">Certifications:  </w:t>
      </w:r>
      <w:r>
        <w:rPr>
          <w:rFonts w:ascii="Calibri" w:hAnsi="Calibri"/>
          <w:b w:val="0"/>
          <w:i w:val="0"/>
          <w:color w:val="1A1A1A"/>
          <w:sz w:val="19"/>
        </w:rPr>
        <w:t xml:space="preserve">HCIP-LTE (Huawei Certified ICT Professional), 2020  –  Google Cybersecurity Certificate (Coursera)  –  Cyber Security Certification for Service Work, 2018  –  Remote Delivery, 2018.        </w:t>
      </w:r>
      <w:r>
        <w:rPr>
          <w:rFonts w:ascii="Calibri" w:hAnsi="Calibri"/>
          <w:b/>
          <w:i w:val="0"/>
          <w:color w:val="1F3A5F"/>
          <w:sz w:val="19"/>
        </w:rPr>
        <w:t xml:space="preserve">Languages:  </w:t>
      </w:r>
      <w:r>
        <w:rPr>
          <w:rFonts w:ascii="Calibri" w:hAnsi="Calibri"/>
          <w:b w:val="0"/>
          <w:i w:val="0"/>
          <w:color w:val="1A1A1A"/>
          <w:sz w:val="19"/>
        </w:rPr>
        <w:t>English.</w:t>
      </w:r>
    </w:p>
    <w:sectPr w:rsidR="00FC693F" w:rsidRPr="0006063C" w:rsidSect="00034616">
      <w:footerReference w:type="default" r:id="rId32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5555"/>
        <w:sz w:val="15"/>
      </w:rPr>
      <w:t>Muhammad Usman Ahmad  –  RAN Validation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uhammadusmanahmad10@gmail.com" TargetMode="External"/><Relationship Id="rId10" Type="http://schemas.openxmlformats.org/officeDocument/2006/relationships/hyperlink" Target="https://www.linkedin.com/" TargetMode="External"/><Relationship Id="rId11" Type="http://schemas.openxmlformats.org/officeDocument/2006/relationships/hyperlink" Target="https://your-portfolio-link.example.com/index.html" TargetMode="External"/><Relationship Id="rId12" Type="http://schemas.openxmlformats.org/officeDocument/2006/relationships/hyperlink" Target="https://your-portfolio-link.example.com/project-lifecycle.html" TargetMode="External"/><Relationship Id="rId13" Type="http://schemas.openxmlformats.org/officeDocument/2006/relationships/hyperlink" Target="https://your-portfolio-link.example.com/registration-pdu.html" TargetMode="External"/><Relationship Id="rId14" Type="http://schemas.openxmlformats.org/officeDocument/2006/relationships/hyperlink" Target="https://your-portfolio-link.example.com/xn-handover.html" TargetMode="External"/><Relationship Id="rId15" Type="http://schemas.openxmlformats.org/officeDocument/2006/relationships/hyperlink" Target="https://your-portfolio-link.example.com/wps-slicing.html" TargetMode="External"/><Relationship Id="rId16" Type="http://schemas.openxmlformats.org/officeDocument/2006/relationships/hyperlink" Target="https://your-portfolio-link.example.com/volte-vonr.html" TargetMode="External"/><Relationship Id="rId17" Type="http://schemas.openxmlformats.org/officeDocument/2006/relationships/hyperlink" Target="https://your-portfolio-link.example.com/e911-location.html" TargetMode="External"/><Relationship Id="rId18" Type="http://schemas.openxmlformats.org/officeDocument/2006/relationships/hyperlink" Target="https://your-portfolio-link.example.com/automation.html" TargetMode="External"/><Relationship Id="rId19" Type="http://schemas.openxmlformats.org/officeDocument/2006/relationships/hyperlink" Target="https://your-portfolio-link.example.com/load-stress.html" TargetMode="External"/><Relationship Id="rId20" Type="http://schemas.openxmlformats.org/officeDocument/2006/relationships/hyperlink" Target="https://your-portfolio-link.example.com/integration-scripting.html" TargetMode="External"/><Relationship Id="rId21" Type="http://schemas.openxmlformats.org/officeDocument/2006/relationships/hyperlink" Target="https://your-portfolio-link.example.com/rf-optimization.html" TargetMode="External"/><Relationship Id="rId22" Type="http://schemas.openxmlformats.org/officeDocument/2006/relationships/hyperlink" Target="https://your-portfolio-link.example.com/spectrum-refarming.html" TargetMode="External"/><Relationship Id="rId23" Type="http://schemas.openxmlformats.org/officeDocument/2006/relationships/hyperlink" Target="https://your-portfolio-link.example.com/massive-mimo.html" TargetMode="External"/><Relationship Id="rId24" Type="http://schemas.openxmlformats.org/officeDocument/2006/relationships/hyperlink" Target="https://your-portfolio-link.example.com/icase-library.html" TargetMode="External"/><Relationship Id="rId25" Type="http://schemas.openxmlformats.org/officeDocument/2006/relationships/hyperlink" Target="https://your-portfolio-link.example.com/kpis-messages.html" TargetMode="External"/><Relationship Id="rId26" Type="http://schemas.openxmlformats.org/officeDocument/2006/relationships/hyperlink" Target="https://your-portfolio-link.example.com/lab-methodology.html" TargetMode="External"/><Relationship Id="rId27" Type="http://schemas.openxmlformats.org/officeDocument/2006/relationships/hyperlink" Target="https://your-portfolio-link.example.com/policy-qos.html" TargetMode="External"/><Relationship Id="rId28" Type="http://schemas.openxmlformats.org/officeDocument/2006/relationships/hyperlink" Target="https://your-portfolio-link.example.com/3gpp-standards.html" TargetMode="External"/><Relationship Id="rId29" Type="http://schemas.openxmlformats.org/officeDocument/2006/relationships/hyperlink" Target="https://your-portfolio-link.example.com/ntn.html" TargetMode="External"/><Relationship Id="rId30" Type="http://schemas.openxmlformats.org/officeDocument/2006/relationships/hyperlink" Target="https://your-portfolio-link.example.com/open-ran.html" TargetMode="External"/><Relationship Id="rId31" Type="http://schemas.openxmlformats.org/officeDocument/2006/relationships/hyperlink" Target="https://your-portfolio-link.example.com/security.html" TargetMode="External"/><Relationship Id="rId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